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uppressAutoHyphens w:val="false"/>
        <w:spacing w:lineRule="auto" w:line="240" w:before="0" w:after="0"/>
        <w:jc w:val="right"/>
        <w:rPr>
          <w:rFonts w:ascii="Times New Roman" w:hAnsi="Times New Roman" w:eastAsia="Times New Roman" w:cs="Times New Roman"/>
          <w:sz w:val="24"/>
          <w:szCs w:val="24"/>
        </w:rPr>
      </w:pPr>
      <w:r>
        <w:rPr/>
      </w:r>
    </w:p>
    <w:p>
      <w:pPr>
        <w:pStyle w:val="Normal"/>
        <w:suppressAutoHyphens w:val="false"/>
        <w:spacing w:lineRule="auto" w:line="240" w:before="0" w:after="0"/>
        <w:jc w:val="right"/>
        <w:rPr>
          <w:rFonts w:ascii="Times New Roman" w:hAnsi="Times New Roman" w:eastAsia="Times New Roman" w:cs="Times New Roman"/>
          <w:sz w:val="24"/>
          <w:szCs w:val="24"/>
        </w:rPr>
      </w:pPr>
      <w:r>
        <w:rPr/>
      </w:r>
    </w:p>
    <w:p>
      <w:pPr>
        <w:pStyle w:val="Normal"/>
        <w:suppressAutoHyphens w:val="false"/>
        <w:spacing w:lineRule="auto" w:line="240" w:before="0" w:after="0"/>
        <w:jc w:val="right"/>
        <w:rPr>
          <w:rFonts w:ascii="Times New Roman" w:hAnsi="Times New Roman" w:eastAsia="Times New Roman" w:cs="Times New Roman"/>
          <w:sz w:val="24"/>
          <w:szCs w:val="24"/>
        </w:rPr>
      </w:pPr>
      <w:r>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drawing>
          <wp:anchor behindDoc="0" distT="0" distB="0" distL="114300" distR="114300" simplePos="0" locked="0" layoutInCell="0" allowOverlap="1" relativeHeight="2">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2"/>
                    <a:stretch>
                      <a:fillRect/>
                    </a:stretch>
                  </pic:blipFill>
                  <pic:spPr bwMode="auto">
                    <a:xfrm>
                      <a:off x="0" y="0"/>
                      <a:ext cx="1051560" cy="1592580"/>
                    </a:xfrm>
                    <a:prstGeom prst="rect">
                      <a:avLst/>
                    </a:prstGeom>
                  </pic:spPr>
                </pic:pic>
              </a:graphicData>
            </a:graphic>
          </wp:anchor>
        </w:drawing>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Title"/>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ОТЧЕТ</w:t>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 в 2022 году»</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Результаты мониторинга реализации документов стратегического планирования</w:t>
        <w:br/>
        <w:t>в сфере социально-экономического развития городского округа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0" w:leader="none"/>
        </w:tabs>
        <w:spacing w:lineRule="auto" w:line="240" w:before="0" w:after="0"/>
        <w:ind w:firstLine="567"/>
        <w:contextualSpacing/>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2022 году в рамках реализации Стратегии социально-экономического развития городского округа ЗАТО Свободный на период до 2030 года (далее - Стратегия), утвержденной решением Думы </w:t>
      </w:r>
      <w:r>
        <w:rPr>
          <w:rFonts w:cs="Times New Roman" w:ascii="Times New Roman" w:hAnsi="Times New Roman"/>
          <w:sz w:val="24"/>
          <w:szCs w:val="24"/>
        </w:rPr>
        <w:t>городского округа ЗАТО Свободный от 30.10.2019 № 36/3, реализовывались</w:t>
        <w:br/>
        <w:t>7</w:t>
      </w:r>
      <w:r>
        <w:rPr>
          <w:rFonts w:eastAsia="Times New Roman" w:cs="Times New Roman" w:ascii="Times New Roman" w:hAnsi="Times New Roman"/>
          <w:sz w:val="24"/>
          <w:szCs w:val="24"/>
        </w:rPr>
        <w:t xml:space="preserve"> муниципальных программ, общий плановый бюджет которых составил 635 051,8 тыс. рублей,</w:t>
        <w:br/>
        <w:t>в том числе:</w:t>
      </w:r>
    </w:p>
    <w:p>
      <w:pPr>
        <w:pStyle w:val="Normal"/>
        <w:tabs>
          <w:tab w:val="clear" w:pos="708"/>
          <w:tab w:val="left" w:pos="0" w:leader="none"/>
        </w:tabs>
        <w:spacing w:lineRule="auto" w:line="240" w:before="0" w:after="0"/>
        <w:ind w:firstLine="567"/>
        <w:contextualSpacing/>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федерального бюджета – 67 998,6 тыс. рублей;</w:t>
      </w:r>
    </w:p>
    <w:p>
      <w:pPr>
        <w:pStyle w:val="Normal"/>
        <w:tabs>
          <w:tab w:val="clear" w:pos="708"/>
          <w:tab w:val="left" w:pos="0" w:leader="none"/>
        </w:tabs>
        <w:spacing w:lineRule="auto" w:line="240" w:before="0" w:after="0"/>
        <w:ind w:firstLine="567"/>
        <w:contextualSpacing/>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областного бюджета – 175 454,9 тыс. рублей;</w:t>
      </w:r>
    </w:p>
    <w:p>
      <w:pPr>
        <w:pStyle w:val="Normal"/>
        <w:tabs>
          <w:tab w:val="clear" w:pos="708"/>
          <w:tab w:val="left" w:pos="0" w:leader="none"/>
        </w:tabs>
        <w:spacing w:lineRule="auto" w:line="240" w:before="0" w:after="0"/>
        <w:ind w:firstLine="567"/>
        <w:contextualSpacing/>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местного бюджета – 391 598,4 тыс. рублей.</w:t>
      </w:r>
    </w:p>
    <w:p>
      <w:pPr>
        <w:pStyle w:val="Normal"/>
        <w:tabs>
          <w:tab w:val="clear" w:pos="708"/>
          <w:tab w:val="left" w:pos="0" w:leader="none"/>
        </w:tabs>
        <w:spacing w:lineRule="auto" w:line="240" w:before="0" w:after="0"/>
        <w:ind w:firstLine="567"/>
        <w:contextualSpacing/>
        <w:textAlignment w:val="baseline"/>
        <w:rPr>
          <w:rFonts w:ascii="Times New Roman" w:hAnsi="Times New Roman" w:cs="Times New Roman"/>
          <w:sz w:val="24"/>
          <w:szCs w:val="24"/>
        </w:rPr>
      </w:pPr>
      <w:r>
        <w:rPr>
          <w:rFonts w:eastAsia="Times New Roman" w:cs="Times New Roman" w:ascii="Times New Roman" w:hAnsi="Times New Roman"/>
          <w:sz w:val="24"/>
          <w:szCs w:val="24"/>
        </w:rPr>
        <w:t>На 31 декабря 2022 года освоено 556 388,8 тыс. рублей, что составляет 87,6 % от запланированного бюджета, в том числе:</w:t>
      </w:r>
    </w:p>
    <w:p>
      <w:pPr>
        <w:pStyle w:val="Normal"/>
        <w:tabs>
          <w:tab w:val="clear" w:pos="708"/>
          <w:tab w:val="left" w:pos="0" w:leader="none"/>
        </w:tabs>
        <w:spacing w:lineRule="auto" w:line="240" w:before="0" w:after="0"/>
        <w:ind w:firstLine="567"/>
        <w:contextualSpacing/>
        <w:textAlignment w:val="baseline"/>
        <w:rPr>
          <w:rFonts w:ascii="Times New Roman" w:hAnsi="Times New Roman" w:cs="Times New Roman"/>
          <w:sz w:val="24"/>
          <w:szCs w:val="24"/>
        </w:rPr>
      </w:pPr>
      <w:r>
        <w:rPr>
          <w:rFonts w:eastAsia="Times New Roman" w:cs="Times New Roman" w:ascii="Times New Roman" w:hAnsi="Times New Roman"/>
          <w:sz w:val="24"/>
          <w:szCs w:val="24"/>
        </w:rPr>
        <w:t>- средства федерального бюджета – 10,8 %;</w:t>
      </w:r>
    </w:p>
    <w:p>
      <w:pPr>
        <w:pStyle w:val="Normal"/>
        <w:tabs>
          <w:tab w:val="clear" w:pos="708"/>
          <w:tab w:val="left" w:pos="0" w:leader="none"/>
        </w:tabs>
        <w:spacing w:lineRule="auto" w:line="240" w:before="0" w:after="0"/>
        <w:ind w:firstLine="567"/>
        <w:contextualSpacing/>
        <w:textAlignment w:val="baseline"/>
        <w:rPr>
          <w:rFonts w:ascii="Times New Roman" w:hAnsi="Times New Roman" w:cs="Times New Roman"/>
          <w:sz w:val="24"/>
          <w:szCs w:val="24"/>
        </w:rPr>
      </w:pPr>
      <w:r>
        <w:rPr>
          <w:rFonts w:eastAsia="Times New Roman" w:cs="Times New Roman" w:ascii="Times New Roman" w:hAnsi="Times New Roman"/>
          <w:sz w:val="24"/>
          <w:szCs w:val="24"/>
        </w:rPr>
        <w:t>- средства областного бюджета - 99,7 %;</w:t>
      </w:r>
    </w:p>
    <w:p>
      <w:pPr>
        <w:pStyle w:val="Normal"/>
        <w:tabs>
          <w:tab w:val="clear" w:pos="708"/>
          <w:tab w:val="left" w:pos="0" w:leader="none"/>
        </w:tabs>
        <w:spacing w:lineRule="auto" w:line="240" w:before="0" w:after="0"/>
        <w:ind w:firstLine="567"/>
        <w:contextualSpacing/>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местного бюджета – 95,6 %.</w:t>
      </w:r>
    </w:p>
    <w:p>
      <w:pPr>
        <w:pStyle w:val="Normal"/>
        <w:tabs>
          <w:tab w:val="clear" w:pos="708"/>
          <w:tab w:val="left" w:pos="284" w:leader="none"/>
          <w:tab w:val="left" w:pos="1080" w:leader="none"/>
        </w:tabs>
        <w:spacing w:lineRule="auto" w:line="240" w:before="0" w:after="0"/>
        <w:ind w:firstLine="567"/>
        <w:contextualSpacing/>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 эффективности реализации муниципальных программ городского округа ЗАТО Свободный за 2022 год осуществляется в соответствии с методикой оценки эффективности, утвержденной постановлением администрации городского округа ЗАТО Свободный от 26.07.2013 № 505 «Об утверждении Порядка разработки, реализации и оценки эффективности муниципальных программ» (ред. от 21.12.2022).</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rPr>
        <w:t>Оценка эффективности реализации муниципальных программ проводится по двум направлениям:</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недофинансирование, чрезмерное финансирование);</w:t>
      </w:r>
    </w:p>
    <w:p>
      <w:pPr>
        <w:pStyle w:val="Normal"/>
        <w:tabs>
          <w:tab w:val="clear" w:pos="708"/>
          <w:tab w:val="left" w:pos="284" w:leader="none"/>
          <w:tab w:val="left" w:pos="1080" w:leader="none"/>
        </w:tabs>
        <w:spacing w:lineRule="auto" w:line="240" w:before="0" w:after="0"/>
        <w:ind w:firstLine="567"/>
        <w:contextualSpacing/>
        <w:jc w:val="both"/>
        <w:textAlignment w:val="baseline"/>
        <w:rPr>
          <w:rFonts w:ascii="Times New Roman" w:hAnsi="Times New Roman" w:cs="Times New Roman"/>
          <w:sz w:val="24"/>
          <w:szCs w:val="24"/>
        </w:rPr>
      </w:pPr>
      <w:r>
        <w:rPr>
          <w:rFonts w:eastAsia="Times New Roman" w:cs="Times New Roman" w:ascii="Times New Roman" w:hAnsi="Times New Roman"/>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 Итоги эффективности за 2022 год 8 утвержденных муниципальных программ отражены в таблице.</w:t>
      </w:r>
    </w:p>
    <w:p>
      <w:pPr>
        <w:pStyle w:val="Normal"/>
        <w:tabs>
          <w:tab w:val="clear" w:pos="708"/>
          <w:tab w:val="left" w:pos="284" w:leader="none"/>
          <w:tab w:val="left" w:pos="1080" w:leader="none"/>
        </w:tabs>
        <w:spacing w:lineRule="auto" w:line="240" w:before="0" w:after="0"/>
        <w:ind w:firstLine="567"/>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r>
    </w:p>
    <w:tbl>
      <w:tblPr>
        <w:tblStyle w:val="13"/>
        <w:tblW w:w="102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
        <w:gridCol w:w="2687"/>
        <w:gridCol w:w="1101"/>
        <w:gridCol w:w="1134"/>
        <w:gridCol w:w="1701"/>
        <w:gridCol w:w="1615"/>
        <w:gridCol w:w="1536"/>
      </w:tblGrid>
      <w:tr>
        <w:trPr>
          <w:trHeight w:val="348" w:hRule="atLeast"/>
        </w:trPr>
        <w:tc>
          <w:tcPr>
            <w:tcW w:w="431" w:type="dxa"/>
            <w:vMerge w:val="restart"/>
            <w:tcBorders/>
          </w:tcPr>
          <w:p>
            <w:pPr>
              <w:pStyle w:val="Normal"/>
              <w:widowControl w:val="false"/>
              <w:suppressAutoHyphens w:val="true"/>
              <w:spacing w:lineRule="auto" w:line="240" w:before="0" w:after="0"/>
              <w:ind w:firstLine="567"/>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w:t>
            </w:r>
            <w:r>
              <w:rPr>
                <w:rFonts w:eastAsia="" w:cs="Times New Roman" w:ascii="Times New Roman" w:hAnsi="Times New Roman"/>
                <w:kern w:val="0"/>
                <w:sz w:val="24"/>
                <w:szCs w:val="24"/>
                <w:lang w:val="ru-RU" w:eastAsia="ru-RU" w:bidi="ar-SA"/>
              </w:rPr>
              <w:t>п/п</w:t>
            </w:r>
          </w:p>
        </w:tc>
        <w:tc>
          <w:tcPr>
            <w:tcW w:w="2687"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Наименование муниципальной программы</w:t>
            </w:r>
          </w:p>
        </w:tc>
        <w:tc>
          <w:tcPr>
            <w:tcW w:w="393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Оценка полноты финансирования</w:t>
            </w:r>
          </w:p>
        </w:tc>
        <w:tc>
          <w:tcPr>
            <w:tcW w:w="1615"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Оценка достижения показателя «Достижение плановых значений целевых показателей»</w:t>
            </w:r>
          </w:p>
        </w:tc>
        <w:tc>
          <w:tcPr>
            <w:tcW w:w="1536"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Результат оценки эффективности</w:t>
            </w:r>
          </w:p>
        </w:tc>
      </w:tr>
      <w:tr>
        <w:trPr>
          <w:trHeight w:val="797" w:hRule="atLeast"/>
        </w:trPr>
        <w:tc>
          <w:tcPr>
            <w:tcW w:w="431" w:type="dxa"/>
            <w:vMerge w:val="continue"/>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687" w:type="dxa"/>
            <w:vMerge w:val="continue"/>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оценка расходов в соответствии с программой, тыс. руб.</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фактические расходы,          тыс. Руб.</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полнота финансирования (значение показателя)</w:t>
            </w:r>
          </w:p>
        </w:tc>
        <w:tc>
          <w:tcPr>
            <w:tcW w:w="1615" w:type="dxa"/>
            <w:vMerge w:val="continue"/>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536" w:type="dxa"/>
            <w:vMerge w:val="continue"/>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r>
      <w:tr>
        <w:trPr>
          <w:trHeight w:val="111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"Развитие образования в городском округе ЗАТО Свободный " на 2016-2024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420 582,1</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419 727,6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1,00                          (полное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Высокая эффективность муниципальной программы</w:t>
            </w:r>
          </w:p>
        </w:tc>
      </w:tr>
      <w:tr>
        <w:trPr>
          <w:trHeight w:val="111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"Профилактика заболеваний и формирование здорового образа жизни" на 2016 -2020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913,2</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863,1</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1,06                 (увеличенное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shd w:fill="FFFFFF" w:val="clear"/>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Высокая эффективность муниципальной программы</w:t>
            </w:r>
          </w:p>
        </w:tc>
      </w:tr>
      <w:tr>
        <w:trPr>
          <w:trHeight w:val="111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"Развитие  культуры, спорта и молодежной политики в городском округе ЗАТО Свободный" на 2016-2024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33 986,2</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33 985,9</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                      (полное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Высокая эффективность муниципальной программы</w:t>
            </w:r>
          </w:p>
        </w:tc>
      </w:tr>
      <w:tr>
        <w:trPr>
          <w:trHeight w:val="79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p>
            <w:pPr>
              <w:pStyle w:val="Normal"/>
              <w:widowControl/>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31 652,0</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29 826,7</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1,06               (увеличенное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Средний уровень эффективности муниципальной программы</w:t>
            </w:r>
          </w:p>
        </w:tc>
      </w:tr>
      <w:tr>
        <w:trPr>
          <w:trHeight w:val="940"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55</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"Безопасный город" на 2016-2024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7 035,2</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6 764,4</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1,04                   (увеличенное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Средний уровень эффективности муниципальной программы</w:t>
            </w:r>
          </w:p>
        </w:tc>
      </w:tr>
      <w:tr>
        <w:trPr>
          <w:trHeight w:val="87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w:t>
            </w:r>
          </w:p>
          <w:p>
            <w:pPr>
              <w:pStyle w:val="Normal"/>
              <w:widowControl/>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"Поддержка социально ориентированных некоммерческих организаций в городском округе ЗАТО Свободный на 2021-2029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200,0</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120,4</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1,66 (чрезмерное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highlight w:val="yellow"/>
                <w:shd w:fill="FFFFFF" w:val="clear"/>
              </w:rPr>
            </w:pPr>
            <w:r>
              <w:rPr>
                <w:rFonts w:eastAsia="" w:cs="Times New Roman" w:ascii="Times New Roman" w:hAnsi="Times New Roman"/>
                <w:kern w:val="0"/>
                <w:sz w:val="24"/>
                <w:szCs w:val="24"/>
                <w:shd w:fill="FFFFFF" w:val="clear"/>
                <w:lang w:val="ru-RU" w:eastAsia="ru-RU" w:bidi="ar-SA"/>
              </w:rPr>
              <w:t>высокая результативность</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highlight w:val="yellow"/>
                <w:shd w:fill="FFFFFF" w:val="clear"/>
              </w:rPr>
            </w:pPr>
            <w:r>
              <w:rPr>
                <w:rFonts w:eastAsia="" w:cs="Times New Roman" w:ascii="Times New Roman" w:hAnsi="Times New Roman"/>
                <w:kern w:val="0"/>
                <w:sz w:val="24"/>
                <w:szCs w:val="24"/>
                <w:shd w:fill="FFFFFF" w:val="clear"/>
                <w:lang w:val="ru-RU" w:eastAsia="ru-RU" w:bidi="ar-SA"/>
              </w:rPr>
              <w:t>Низкая эффективность муниципальной программы</w:t>
            </w:r>
          </w:p>
        </w:tc>
      </w:tr>
      <w:tr>
        <w:trPr>
          <w:trHeight w:val="87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77</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"Развитие городского хозяйства" на 2016-2024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140 683,2</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65 100,8</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2,16                  (чрезмерное финансирование)</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средняя результативность   (недовыполнение плана)</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Крайне низкая эффективность муниципальной программы</w:t>
            </w:r>
          </w:p>
        </w:tc>
      </w:tr>
      <w:tr>
        <w:trPr>
          <w:trHeight w:val="878" w:hRule="atLeast"/>
        </w:trPr>
        <w:tc>
          <w:tcPr>
            <w:tcW w:w="431" w:type="dxa"/>
            <w:tcBorders/>
          </w:tcPr>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88</w:t>
            </w:r>
          </w:p>
        </w:tc>
        <w:tc>
          <w:tcPr>
            <w:tcW w:w="268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Муниципальная программа «Обеспечение жильем молодых семей на территории городского округа ЗАТО Свободный» на 2019-2024 годы</w:t>
            </w:r>
          </w:p>
        </w:tc>
        <w:tc>
          <w:tcPr>
            <w:tcW w:w="11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w:t>
            </w:r>
          </w:p>
        </w:tc>
        <w:tc>
          <w:tcPr>
            <w:tcW w:w="1615"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Показатели не достигнуты. Отбор на реализацию муниципальной программы на 2022 год осуществлялся до 01.06.2021 года. Пакет документов был собран не в полном объеме.</w:t>
            </w:r>
          </w:p>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4"/>
                <w:szCs w:val="24"/>
                <w:shd w:fill="FFFFFF" w:val="clear"/>
                <w:lang w:val="ru-RU" w:eastAsia="ru-RU" w:bidi="ar-SA"/>
              </w:rPr>
              <w:t>В 2022 году для реализации программы в 2023 годы пройден отбор, документы сданы в срок. Финансирование выделено на 2 семьи. Показатели эффективности будут отражены в 2023 году</w:t>
            </w:r>
          </w:p>
        </w:tc>
        <w:tc>
          <w:tcPr>
            <w:tcW w:w="1536" w:type="dxa"/>
            <w:tcBorders/>
          </w:tcPr>
          <w:p>
            <w:pPr>
              <w:pStyle w:val="Normal"/>
              <w:widowControl w:val="false"/>
              <w:suppressAutoHyphens w:val="true"/>
              <w:spacing w:lineRule="auto" w:line="240" w:before="0" w:after="0"/>
              <w:jc w:val="center"/>
              <w:rPr>
                <w:rFonts w:ascii="Times New Roman" w:hAnsi="Times New Roman" w:cs="Times New Roman"/>
                <w:sz w:val="24"/>
                <w:szCs w:val="24"/>
                <w:shd w:fill="FFFFFF" w:val="clear"/>
              </w:rPr>
            </w:pPr>
            <w:r>
              <w:rPr>
                <w:rFonts w:eastAsia="" w:cs="Times New Roman" w:ascii="Times New Roman" w:hAnsi="Times New Roman"/>
                <w:kern w:val="0"/>
                <w:sz w:val="22"/>
                <w:szCs w:val="22"/>
                <w:shd w:fill="FFFFFF" w:val="clear"/>
                <w:lang w:val="ru-RU" w:eastAsia="ru-RU" w:bidi="ar-SA"/>
              </w:rPr>
            </w:r>
          </w:p>
        </w:tc>
      </w:tr>
    </w:tbl>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Результаты деятельности главы городского округа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округом ЗАТО Свободный:</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издает в пределах своих полномочий правовые акты;</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вправе требовать созыва внеочередного заседания Думы городского округа;</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pPr>
        <w:pStyle w:val="Normal"/>
        <w:numPr>
          <w:ilvl w:val="0"/>
          <w:numId w:val="1"/>
        </w:numPr>
        <w:tabs>
          <w:tab w:val="clear" w:pos="708"/>
          <w:tab w:val="left" w:pos="1122"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 глава городского округа осуществляет личный прием граждан.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течение 2022 года глава городского округа исполнял в полном объеме полномочия определенные действующим законодательством и Уставом городского округа.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отчетный период глава городского округа возглавлял и организовывал работу: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Комиссии по координации работы по противодействию коррупции на территории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Антитеррористической комиссии по профилактике терроризма, минимизации и ликвидации последствий его проявлений в городском округе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Комиссии по предупреждению и ликвидации чрезвычайных ситуаций и обеспечению пожарной безопасности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Антинаркотической комиссии в городском округе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Комиссии по решению вопросов ликвидации задолженности населения городского округа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iCs/>
          <w:spacing w:val="-4"/>
          <w:sz w:val="24"/>
          <w:szCs w:val="24"/>
        </w:rPr>
        <w:t>6. Муниципальной оздоровительной комиссии.</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iCs/>
          <w:spacing w:val="-4"/>
          <w:sz w:val="24"/>
          <w:szCs w:val="24"/>
        </w:rPr>
        <w:t>7. Санитарно-противоэпидемической комиссии.</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iCs/>
          <w:spacing w:val="-4"/>
          <w:sz w:val="24"/>
          <w:szCs w:val="24"/>
        </w:rPr>
        <w:t>8. Попечительского Совета общественно-государственного движения «Попечительства о народной трезвости».</w:t>
      </w:r>
    </w:p>
    <w:p>
      <w:pPr>
        <w:pStyle w:val="Normal"/>
        <w:widowControl w:val="false"/>
        <w:spacing w:lineRule="auto" w:line="240" w:before="0" w:after="0"/>
        <w:ind w:firstLine="567"/>
        <w:jc w:val="both"/>
        <w:rPr>
          <w:rFonts w:ascii="Times New Roman" w:hAnsi="Times New Roman" w:eastAsia="Times New Roman" w:cs="Times New Roman"/>
          <w:iCs/>
          <w:spacing w:val="-4"/>
          <w:sz w:val="24"/>
          <w:szCs w:val="24"/>
        </w:rPr>
      </w:pPr>
      <w:r>
        <w:rPr>
          <w:rFonts w:eastAsia="Times New Roman" w:cs="Times New Roman" w:ascii="Times New Roman" w:hAnsi="Times New Roman"/>
          <w:iCs/>
          <w:spacing w:val="-4"/>
          <w:sz w:val="24"/>
          <w:szCs w:val="24"/>
        </w:rPr>
        <w:t xml:space="preserve">9. Комиссии по безопасности дорожного движения </w:t>
      </w:r>
      <w:r>
        <w:rPr>
          <w:rFonts w:eastAsia="Times New Roman" w:cs="Times New Roman" w:ascii="Times New Roman" w:hAnsi="Times New Roman"/>
          <w:spacing w:val="-4"/>
          <w:sz w:val="24"/>
          <w:szCs w:val="24"/>
        </w:rPr>
        <w:t>в городском округе ЗАТО Свободный.</w:t>
      </w:r>
    </w:p>
    <w:p>
      <w:pPr>
        <w:pStyle w:val="Normal"/>
        <w:widowControl w:val="false"/>
        <w:spacing w:lineRule="auto" w:line="240" w:before="0" w:after="0"/>
        <w:ind w:firstLine="567"/>
        <w:jc w:val="both"/>
        <w:rPr>
          <w:rFonts w:ascii="Times New Roman" w:hAnsi="Times New Roman" w:eastAsia="Times New Roman" w:cs="Times New Roman"/>
          <w:iCs/>
          <w:spacing w:val="-4"/>
          <w:sz w:val="24"/>
          <w:szCs w:val="24"/>
        </w:rPr>
      </w:pPr>
      <w:r>
        <w:rPr>
          <w:rFonts w:eastAsia="Times New Roman" w:cs="Times New Roman" w:ascii="Times New Roman" w:hAnsi="Times New Roman"/>
          <w:spacing w:val="-4"/>
          <w:sz w:val="24"/>
          <w:szCs w:val="24"/>
        </w:rPr>
        <w:t xml:space="preserve">10. </w:t>
      </w:r>
      <w:r>
        <w:rPr>
          <w:rFonts w:eastAsia="Times New Roman" w:cs="Times New Roman" w:ascii="Times New Roman" w:hAnsi="Times New Roman"/>
          <w:sz w:val="24"/>
          <w:szCs w:val="24"/>
        </w:rPr>
        <w:t>Межведомственной комиссии по профилактике правонарушений в городском округе ЗАТО Свободный</w:t>
      </w:r>
      <w:r>
        <w:rPr>
          <w:rFonts w:eastAsia="Times New Roman" w:cs="Times New Roman" w:ascii="Times New Roman" w:hAnsi="Times New Roman"/>
          <w:spacing w:val="-4"/>
          <w:sz w:val="24"/>
          <w:szCs w:val="24"/>
        </w:rPr>
        <w:t>.</w:t>
      </w:r>
    </w:p>
    <w:p>
      <w:pPr>
        <w:pStyle w:val="Normal"/>
        <w:widowControl w:val="false"/>
        <w:spacing w:lineRule="auto" w:line="240" w:before="0" w:after="0"/>
        <w:ind w:firstLine="567"/>
        <w:jc w:val="both"/>
        <w:rPr>
          <w:rFonts w:ascii="Times New Roman" w:hAnsi="Times New Roman" w:eastAsia="Times New Roman" w:cs="Times New Roman"/>
          <w:iCs/>
          <w:spacing w:val="-4"/>
          <w:sz w:val="24"/>
          <w:szCs w:val="24"/>
        </w:rPr>
      </w:pPr>
      <w:r>
        <w:rPr>
          <w:rFonts w:eastAsia="Times New Roman" w:cs="Times New Roman" w:ascii="Times New Roman" w:hAnsi="Times New Roman"/>
          <w:spacing w:val="-4"/>
          <w:sz w:val="24"/>
          <w:szCs w:val="24"/>
        </w:rPr>
        <w:t>11</w:t>
      </w:r>
      <w:r>
        <w:rPr>
          <w:rFonts w:eastAsia="Times New Roman" w:cs="Times New Roman" w:ascii="Times New Roman" w:hAnsi="Times New Roman"/>
          <w:iCs/>
          <w:spacing w:val="-4"/>
          <w:sz w:val="24"/>
          <w:szCs w:val="24"/>
        </w:rPr>
        <w:t>. Оперативного штаба по выработке мер, направленных на обеспечение экономической и социальной стабильности в условиях санкционных ограничений в городском округе ЗАТО Свободный;</w:t>
      </w:r>
    </w:p>
    <w:p>
      <w:pPr>
        <w:pStyle w:val="Normal"/>
        <w:widowControl w:val="false"/>
        <w:spacing w:lineRule="auto" w:line="240" w:before="0" w:after="0"/>
        <w:ind w:firstLine="567"/>
        <w:jc w:val="both"/>
        <w:rPr>
          <w:rFonts w:ascii="Times New Roman" w:hAnsi="Times New Roman" w:eastAsia="Times New Roman" w:cs="Times New Roman"/>
          <w:spacing w:val="-4"/>
          <w:sz w:val="24"/>
          <w:szCs w:val="24"/>
        </w:rPr>
      </w:pPr>
      <w:r>
        <w:rPr>
          <w:rFonts w:eastAsia="Times New Roman" w:cs="Times New Roman" w:ascii="Times New Roman" w:hAnsi="Times New Roman"/>
          <w:iCs/>
          <w:spacing w:val="-4"/>
          <w:sz w:val="24"/>
          <w:szCs w:val="24"/>
        </w:rPr>
        <w:t xml:space="preserve">12. </w:t>
      </w:r>
      <w:r>
        <w:rPr>
          <w:rFonts w:cs="Times New Roman" w:ascii="Times New Roman" w:hAnsi="Times New Roman"/>
          <w:sz w:val="24"/>
          <w:szCs w:val="24"/>
        </w:rPr>
        <w:t>Волонтерский штаб Всероссийской акции «Мы Вместе».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Также ряд других советов, рабочих групп и комиссий.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течение 2022 года глава городского округа принимал участие в видеоконференциях, проводимых Губернатором Свердловской области, Министерствами Свердловской области, в видеоконференциях, проводимых Управляющим Горнозаводским управленческим округом.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Продолжалась работа Совета молодежи при главе городского округа ЗАТО Свободный с целью выявления проблем молодежи в городском округе. Совет молодежи при главе городского округа принимал участие в мероприятиях, проводимых на территории городского округа.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Для информирования населения о деятельности главы городского округа действует официальный сайт главы городского округа, а также официальная страница в социальных сетях «Вконтакте», «Одноклассники».</w:t>
      </w:r>
    </w:p>
    <w:p>
      <w:pPr>
        <w:pStyle w:val="Normal"/>
        <w:spacing w:lineRule="auto" w:line="240" w:before="0" w:after="0"/>
        <w:ind w:firstLine="567"/>
        <w:jc w:val="both"/>
        <w:rPr>
          <w:rFonts w:ascii="Times New Roman" w:hAnsi="Times New Roman" w:eastAsia="Calibri" w:cs="Times New Roman"/>
          <w:sz w:val="24"/>
          <w:szCs w:val="24"/>
        </w:rPr>
      </w:pPr>
      <w:r>
        <w:rPr>
          <w:rFonts w:eastAsia="Times New Roman" w:cs="Times New Roman" w:ascii="Times New Roman" w:hAnsi="Times New Roman"/>
          <w:sz w:val="24"/>
          <w:szCs w:val="24"/>
        </w:rPr>
        <w:t>Главой городского округа в 2022 году проведено 67 личных приемов граждан, на которых рассматривались жилищные вопросы, вопросы в сфере жилищно-коммунального хозяйства, вопросы по управляющей компании многоквартирными домами, вопросы трудоустройства, вопросы здравоохранения.</w:t>
      </w:r>
      <w:r>
        <w:rPr>
          <w:rFonts w:eastAsia="Calibri"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Cs/>
          <w:sz w:val="24"/>
          <w:szCs w:val="24"/>
        </w:rPr>
        <w:t xml:space="preserve">С 24 июля 2020 года в соответствии с пунктом 7 статьи 27 Устава городского округа ЗАТО Свободный глава городского округа </w:t>
      </w:r>
      <w:r>
        <w:rPr>
          <w:rFonts w:cs="Times New Roman" w:ascii="Times New Roman" w:hAnsi="Times New Roman"/>
          <w:spacing w:val="8"/>
          <w:sz w:val="24"/>
          <w:szCs w:val="24"/>
        </w:rPr>
        <w:t xml:space="preserve">исполняет полномочия главы администрации </w:t>
      </w:r>
      <w:r>
        <w:rPr>
          <w:rFonts w:cs="Times New Roman" w:ascii="Times New Roman" w:hAnsi="Times New Roman"/>
          <w:sz w:val="24"/>
          <w:szCs w:val="24"/>
        </w:rPr>
        <w:t>городского округа.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Деятельность администрации городского округа</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Администрация городского округа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2030 года» и другими федеральными, областными законами и иными правовыми актами, а также правовыми актами органов местного самоуправления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По данным Свердловскстата численность населения городского округа ЗАТО Свободный в 2022 году составляла 10 018 человек, что на 1,7 % больше, чем в 2021 году. </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Демографическая ситуация в 2022 году положительная: рождаемость превышает смертность.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shd w:fill="FFFFFF" w:val="clear"/>
        </w:rPr>
        <w:t xml:space="preserve">По оперативным данным Центра занятости на рынке труда в 2022 году рост безработицы не </w:t>
      </w:r>
      <w:r>
        <w:rPr>
          <w:rFonts w:cs="Times New Roman" w:ascii="Times New Roman" w:hAnsi="Times New Roman"/>
          <w:sz w:val="24"/>
          <w:szCs w:val="24"/>
        </w:rPr>
        <w:t>наблюдается. Уровень официально зарегистрированной безработицы по состоянию на 31.12.2022 составляет 0,2 %, на учете в Верхнесалдинском Центре Занятости состоят 12 человек.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Население городского округа информируется о социально-экономическом и культурном развитии городского округа, о деятельности администрации городского округа путем размещения информации на официальном сайте администрации городского округа, а также официальных страницах в социальных сетях «Вконтакте» и «Одноклассники», для обнародования нормативных правовых актов используется газета «Свободные вести».</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2022 года на базе Дворца культуры «Свободный» работает кружок «Юный журналист» и Видеостудия «Не</w:t>
      </w:r>
      <w:r>
        <w:rPr>
          <w:rFonts w:cs="Times New Roman" w:ascii="Times New Roman" w:hAnsi="Times New Roman"/>
          <w:sz w:val="24"/>
          <w:szCs w:val="24"/>
          <w:lang w:val="en-US"/>
        </w:rPr>
        <w:t>FORMAT</w:t>
      </w:r>
      <w:r>
        <w:rPr>
          <w:rFonts w:cs="Times New Roman" w:ascii="Times New Roman" w:hAnsi="Times New Roman"/>
          <w:sz w:val="24"/>
          <w:szCs w:val="24"/>
        </w:rPr>
        <w:t>». Публикуется газета «Свободные вести».</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2022 год размещено в сети Интернет 50 информационных выпусков, выпущено 65 номеров газеты «Свободные вести».</w:t>
      </w:r>
      <w:bookmarkStart w:id="0" w:name="Par24"/>
      <w:bookmarkStart w:id="1" w:name="Par29"/>
      <w:bookmarkEnd w:id="0"/>
      <w:bookmarkEnd w:id="1"/>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отчетный период с 01.01.2022 по 31.12.2022 в администрации городского округа издано:</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- 41 постановление главы городского округа;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- 7 распоряжений главы городского округа;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- 779 постановлений администрации городского округа;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- 671 распоряжений администрации городского округа (по личному составу);</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- 206 распоряжений администрации по основной деятельности;</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- 34 акта передачи документов в архив (670 архивных дел).</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отчетный период в администрации городского округа поступило:</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входящей корреспонденции - 7762 ед.;</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исходящей корреспонденции - 6590 ед.;</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выдано справок - 1047 ед.</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особом контроле находятся вопросы рассмотрения обращений граждан.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Должностные лица </w:t>
      </w:r>
      <w:r>
        <w:rPr>
          <w:rFonts w:cs="Times New Roman" w:ascii="Times New Roman" w:hAnsi="Times New Roman"/>
          <w:bCs/>
          <w:sz w:val="24"/>
          <w:szCs w:val="24"/>
        </w:rPr>
        <w:t>администрации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городского округа </w:t>
      </w:r>
      <w:r>
        <w:rPr>
          <w:rFonts w:eastAsia="Times New Roman" w:cs="Times New Roman" w:ascii="Times New Roman" w:hAnsi="Times New Roman"/>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 59-ФЗ «О порядке рассмотрения обращений граждан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В 2022 году в а</w:t>
      </w:r>
      <w:r>
        <w:rPr>
          <w:rFonts w:cs="Times New Roman" w:ascii="Times New Roman" w:hAnsi="Times New Roman"/>
          <w:bCs/>
          <w:sz w:val="24"/>
          <w:szCs w:val="24"/>
        </w:rPr>
        <w:t xml:space="preserve">дминистрацию городского округа </w:t>
      </w:r>
      <w:r>
        <w:rPr>
          <w:rFonts w:cs="Times New Roman" w:ascii="Times New Roman" w:hAnsi="Times New Roman"/>
          <w:sz w:val="24"/>
          <w:szCs w:val="24"/>
        </w:rPr>
        <w:t xml:space="preserve">поступило 14 письменных обращений граждан, зарегистрированных </w:t>
      </w:r>
      <w:r>
        <w:rPr>
          <w:rFonts w:eastAsia="Calibri" w:cs="Times New Roman" w:ascii="Times New Roman" w:hAnsi="Times New Roman"/>
          <w:sz w:val="24"/>
          <w:szCs w:val="24"/>
        </w:rPr>
        <w:t xml:space="preserve">посредством системы обращений граждан СОГ. Активно жители городского округа обращались на страницы администрации городского округа в социальных сетях «Вконтакте» и «Одноклассники». </w:t>
      </w:r>
    </w:p>
    <w:p>
      <w:pPr>
        <w:pStyle w:val="Normal"/>
        <w:widowControl w:val="false"/>
        <w:spacing w:lineRule="auto" w:line="240" w:before="0" w:after="0"/>
        <w:ind w:firstLine="567"/>
        <w:jc w:val="both"/>
        <w:rPr>
          <w:rFonts w:ascii="Times New Roman" w:hAnsi="Times New Roman" w:cs="Times New Roman"/>
          <w:bCs/>
          <w:sz w:val="24"/>
          <w:szCs w:val="24"/>
        </w:rPr>
      </w:pPr>
      <w:r>
        <w:rPr>
          <w:rFonts w:eastAsia="Times New Roman" w:cs="Times New Roman" w:ascii="Times New Roman" w:hAnsi="Times New Roman"/>
          <w:sz w:val="24"/>
          <w:szCs w:val="24"/>
        </w:rPr>
        <w:t xml:space="preserve">Справочная информация о порядке обращения граждан в администрацию </w:t>
      </w:r>
      <w:r>
        <w:rPr>
          <w:rFonts w:cs="Times New Roman" w:ascii="Times New Roman" w:hAnsi="Times New Roman"/>
          <w:sz w:val="24"/>
          <w:szCs w:val="24"/>
        </w:rPr>
        <w:t>городского округа</w:t>
      </w:r>
      <w:r>
        <w:rPr>
          <w:rFonts w:eastAsia="Times New Roman" w:cs="Times New Roman" w:ascii="Times New Roman" w:hAnsi="Times New Roman"/>
          <w:sz w:val="24"/>
          <w:szCs w:val="24"/>
        </w:rPr>
        <w:t xml:space="preserve">, месте нахождения и графике работы администрации </w:t>
      </w:r>
      <w:r>
        <w:rPr>
          <w:rFonts w:cs="Times New Roman" w:ascii="Times New Roman" w:hAnsi="Times New Roman"/>
          <w:sz w:val="24"/>
          <w:szCs w:val="24"/>
        </w:rPr>
        <w:t>городского округа</w:t>
      </w:r>
      <w:r>
        <w:rPr>
          <w:rFonts w:eastAsia="Times New Roman" w:cs="Times New Roman" w:ascii="Times New Roman" w:hAnsi="Times New Roman"/>
          <w:sz w:val="24"/>
          <w:szCs w:val="24"/>
        </w:rPr>
        <w:t xml:space="preserve">, а также о номерах справочных телефонов и факсов, электронном адресе администрации </w:t>
      </w:r>
      <w:r>
        <w:rPr>
          <w:rFonts w:cs="Times New Roman" w:ascii="Times New Roman" w:hAnsi="Times New Roman"/>
          <w:sz w:val="24"/>
          <w:szCs w:val="24"/>
        </w:rPr>
        <w:t>городского округа</w:t>
      </w:r>
      <w:r>
        <w:rPr>
          <w:rFonts w:eastAsia="Times New Roman" w:cs="Times New Roman" w:ascii="Times New Roman" w:hAnsi="Times New Roman"/>
          <w:sz w:val="24"/>
          <w:szCs w:val="24"/>
        </w:rPr>
        <w:t xml:space="preserve">, графике личного приема граждан должностными лицами администрации </w:t>
      </w:r>
      <w:r>
        <w:rPr>
          <w:rFonts w:cs="Times New Roman" w:ascii="Times New Roman" w:hAnsi="Times New Roman"/>
          <w:sz w:val="24"/>
          <w:szCs w:val="24"/>
        </w:rPr>
        <w:t>городского округа</w:t>
      </w:r>
      <w:r>
        <w:rPr>
          <w:rFonts w:eastAsia="Times New Roman" w:cs="Times New Roman" w:ascii="Times New Roman" w:hAnsi="Times New Roman"/>
          <w:sz w:val="24"/>
          <w:szCs w:val="24"/>
        </w:rPr>
        <w:t xml:space="preserve"> размещена на официальном сайте а</w:t>
      </w:r>
      <w:r>
        <w:rPr>
          <w:rFonts w:cs="Times New Roman" w:ascii="Times New Roman" w:hAnsi="Times New Roman"/>
          <w:bCs/>
          <w:sz w:val="24"/>
          <w:szCs w:val="24"/>
        </w:rPr>
        <w:t>дминистрации городского округа.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Администрацией городского округа ведется исполнение отдельных государственных полномочий в части:</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 ведения воинского учета;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первоначальный воинский учет в феврале-марте 2022 г.  поставлен 51 человек 2005 года рождения. В апреле - июле 2022 г. проведены мероприятия по призыву на военную службу граждан 1995-2004 годов рождения. Отправлено в войска 7 призывников, норма призыва для городского округа ЗАТО Свободный - 7 человек. В октябре - декабре 2022 г. проведены мероприятия по призыву на военную службу граждан, отправлено в войска 2 призывника, норма призыва для городского округа - 1 человек. По итогам призывной кампании городской округ ЗАТО Свободный выполнил установленную Министерством обороны норму призыва.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проведена сверка картотеки учетных данных военнообязанных граждан с военным комиссариатом (г. Верхняя Салда и Верхнесалдинского района Свердловской области и с организациями, находящимися на территории городского округа, согласно утверждённому плану-графику. В соответствии с приказом военного комиссариата на территории городского округа проведены 2 проверки организации и ведения воинского учета в организациях.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567"/>
        <w:contextualSpacing/>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lang w:bidi="ru-RU"/>
        </w:rPr>
        <w:t>административной комиссии;</w:t>
      </w:r>
    </w:p>
    <w:p>
      <w:pPr>
        <w:pStyle w:val="ConsPlusNormal1"/>
        <w:widowControl/>
        <w:ind w:firstLine="567"/>
        <w:jc w:val="both"/>
        <w:rPr>
          <w:rFonts w:ascii="Times New Roman" w:hAnsi="Times New Roman" w:cs="Times New Roman"/>
          <w:sz w:val="24"/>
          <w:szCs w:val="24"/>
          <w:lang w:bidi="ru-RU"/>
        </w:rPr>
      </w:pPr>
      <w:r>
        <w:rPr>
          <w:rFonts w:cs="Times New Roman" w:ascii="Times New Roman" w:hAnsi="Times New Roman"/>
          <w:sz w:val="24"/>
          <w:szCs w:val="24"/>
          <w:lang w:bidi="ru-RU"/>
        </w:rPr>
        <w:t>За 2022 год в административную комиссию городского округа ЗАТО Свободный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не поступали.</w:t>
      </w:r>
    </w:p>
    <w:p>
      <w:pPr>
        <w:pStyle w:val="ConsPlusNormal1"/>
        <w:widowControl/>
        <w:ind w:firstLine="567"/>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 предоставления субсидий и компенсаций расходов на оплату жилого помещения и коммунальных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течение 2022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Принято и рассмотрено 124 заявления на получение компенсаций расходов на оплату жилого помещения и коммунальных услуг и 43 заявления граждан на получение субсидий на оплату жилого помещения и коммунальных услуг. По данным заявлениям принято 163 положительных решения в предоставлении субсидий и компенсаций и 4 отрицательных решения.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2022 год осуществлялось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целях реализации норм Федерального закона от 28 ноября 2018 года № 442-ФЗ</w:t>
        <w:br/>
        <w:t>«О внесении изменений в статьи 159 и 160 Жилищного кодекса Российской Федерации» проведена работа по получению из государственной информационной системы жилищно-коммунального хозяйства информации о наличии у заявителя подтвержденным,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территории городского округа ЗАТО Свободный в 2022 году осуществляли свою деятельность два муниципальных унитарных предприятия.</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Муниципальное унитарное предприятие ЖКХ «Кедр»</w:t>
      </w:r>
      <w:r>
        <w:rPr>
          <w:rFonts w:eastAsia="Times New Roman" w:cs="Times New Roman" w:ascii="Times New Roman" w:hAnsi="Times New Roman"/>
          <w:sz w:val="24"/>
          <w:szCs w:val="24"/>
        </w:rPr>
        <w:t xml:space="preserve"> является одним из главных предприятий, обеспечивающих социальные условия жизни населения и жизнеобеспечения организаций, расположенных на территории городского округа.</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Продолжается рост кредиторской задолженности предприятия (в том числе за потребленные топливно-энергетические ресурсы), обусловленный высокой дебиторской задолженностью и арестом, наложенным на счета МУП ЖКХ «Кедр».</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Задолженность МУП ЖКХ «Кедр» перед АО «ЭнергосбыТ Плюс» за потреблённую электроэнергию по состоянию на 31.12.2022 составляет 72 255,5 тыс. руб.</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Задолженность перед АО «Уралсевергаз» по состоянию на 31.12.2022 составляет 225 844,5 тыс. руб.</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Администрацией городского округа ЗАТО Свободный (далее - администрация) применяются все возможные меры по снижению кредиторской задолженности за потребленные топливно-энергетические ресурсы. </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Общий объем задолженности предприятия за потребленные ресурсы по состоянию</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31.12.2022 составил 298 100 тыс. руб., что на 21 136 тыс. руб. больше по сравнению с 2021 годом. Темп роста задолженности в 2022 году составил 7,6 %. </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2022 году наблюдалось ухудшение дисциплины платежей населения за жилищно-коммунальные услуги. Задолженность населения по оплате жилищно-коммунальных услуг увеличилась на 40,4 % к уровню прошлого года (на 31.12.2021 – 19 105 тыс. руб.; </w:t>
        <w:br/>
        <w:t xml:space="preserve">на 31.12.2022 – 26 829 тыс. руб.). </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 по оплате жилищно-коммунальных услуг.</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Несмотря на тяжелое финансово-экономическое положение предприятие оказывало качественные услуги и обеспечивало функционирование систем жилищно-коммунальной инфраструктуры.</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Своевременная подготовка к отопительному сезону позволила начать его в установленные сроки. В рамках подготовки к отопительному периоду 2022-2023 годов выдано 49 паспортов готовности к отопительному периоду.</w:t>
      </w:r>
    </w:p>
    <w:p>
      <w:pPr>
        <w:pStyle w:val="Normal"/>
        <w:spacing w:lineRule="auto" w:line="240"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contextualSpacing/>
        <w:jc w:val="both"/>
        <w:rPr>
          <w:rFonts w:ascii="Times New Roman" w:hAnsi="Times New Roman" w:eastAsia="Times New Roman" w:cs="Times New Roman"/>
          <w:color w:val="FF0000"/>
          <w:spacing w:val="-4"/>
          <w:sz w:val="24"/>
          <w:szCs w:val="24"/>
          <w:shd w:fill="FFFFFF" w:val="clear"/>
        </w:rPr>
      </w:pPr>
      <w:r>
        <w:rPr>
          <w:rFonts w:cs="Times New Roman" w:ascii="Times New Roman" w:hAnsi="Times New Roman"/>
          <w:b/>
          <w:sz w:val="24"/>
          <w:szCs w:val="24"/>
        </w:rPr>
        <w:t>Муниципальное унитарное предприятие связи «Импульс»</w:t>
      </w:r>
      <w:r>
        <w:rPr>
          <w:rFonts w:cs="Times New Roman" w:ascii="Times New Roman" w:hAnsi="Times New Roman"/>
          <w:sz w:val="24"/>
          <w:szCs w:val="24"/>
        </w:rPr>
        <w:t xml:space="preserve">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Pr>
          <w:rFonts w:cs="Times New Roman" w:ascii="Times New Roman" w:hAnsi="Times New Roman"/>
          <w:sz w:val="24"/>
          <w:szCs w:val="24"/>
          <w:lang w:val="en-US"/>
        </w:rPr>
        <w:t>INTERNET</w:t>
      </w:r>
      <w:r>
        <w:rPr>
          <w:rFonts w:cs="Times New Roman" w:ascii="Times New Roman" w:hAnsi="Times New Roman"/>
          <w:sz w:val="24"/>
          <w:szCs w:val="24"/>
        </w:rPr>
        <w:t xml:space="preserve">;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 </w:t>
      </w:r>
    </w:p>
    <w:p>
      <w:pPr>
        <w:pStyle w:val="Normal"/>
        <w:spacing w:lineRule="auto" w:line="240" w:before="0" w:after="0"/>
        <w:ind w:firstLine="567"/>
        <w:contextualSpacing/>
        <w:jc w:val="both"/>
        <w:rPr>
          <w:rFonts w:ascii="Times New Roman" w:hAnsi="Times New Roman" w:eastAsia="Times New Roman" w:cs="Times New Roman"/>
          <w:spacing w:val="-4"/>
          <w:sz w:val="24"/>
          <w:szCs w:val="24"/>
          <w:shd w:fill="FFFFFF" w:val="clear"/>
        </w:rPr>
      </w:pPr>
      <w:r>
        <w:rPr>
          <w:rFonts w:cs="Times New Roman" w:ascii="Times New Roman" w:hAnsi="Times New Roman"/>
          <w:sz w:val="24"/>
          <w:szCs w:val="24"/>
        </w:rPr>
        <w:t>В декабре 2022 года было приватизировано муниципальное имущество МУП Связи «Импульс» путем реорганизации в форме преобразования в ООО «Импульс».</w:t>
      </w:r>
    </w:p>
    <w:p>
      <w:pPr>
        <w:pStyle w:val="Normal"/>
        <w:spacing w:lineRule="auto" w:line="240" w:before="0" w:after="0"/>
        <w:ind w:firstLine="567"/>
        <w:jc w:val="both"/>
        <w:rPr>
          <w:rFonts w:ascii="Times New Roman" w:hAnsi="Times New Roman" w:cs="Times New Roman"/>
          <w:color w:val="17365D"/>
          <w:sz w:val="24"/>
          <w:szCs w:val="24"/>
        </w:rPr>
      </w:pPr>
      <w:r>
        <w:rPr>
          <w:rFonts w:cs="Times New Roman" w:ascii="Times New Roman" w:hAnsi="Times New Roman"/>
          <w:color w:val="17365D"/>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Исполнение бюджета за 2022 год</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Главным финансовым инструментом для достижения стабильности социально-экономического развития городского округа ЗАТО Свободный безусловно служит местный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проводилось в соответствии с Бюджетным кодексом РФ, Положением «О бюджетном процессе в городском округе ЗАТО Свободный Свердловской области», утвержденным решением Думы городского округа ЗАТО Свободный от 23.03.2022 № 10/8.</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Местный бюджет утверждается решением Думы городского округа после проведения публичных слушаний. Исполнение местного бюджета осуществлялось в течение года, каждый квартал информация об исполнении местного бюджета размещалась на официальных сайтах Думы городского округа и администрации городского округа.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итогам исполнения местного бюджета за 2022 год получены доходы в объеме 608,0 млн. рублей или 102,1 %, поступление налоговых и неналоговых доходов составило 191,2 млн. рублей или 107,2 % к годовому плану.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Исполнение расходной части местного бюджета городского округа ЗАТО Свободный составило 622,2 млн. рублей или 88,2 % к утвержденным на год бюджетным ассигнованиям.</w:t>
      </w:r>
    </w:p>
    <w:p>
      <w:pPr>
        <w:pStyle w:val="Normal"/>
        <w:widowControl w:val="false"/>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Подразделение правового обеспечения</w:t>
      </w:r>
    </w:p>
    <w:p>
      <w:pPr>
        <w:pStyle w:val="Normal"/>
        <w:widowControl w:val="false"/>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Оказывалась юридическая помощь специалистам администрации </w:t>
      </w:r>
      <w:r>
        <w:rPr>
          <w:rFonts w:eastAsia="Times New Roman" w:cs="Times New Roman" w:ascii="Times New Roman" w:hAnsi="Times New Roman"/>
          <w:sz w:val="24"/>
          <w:szCs w:val="24"/>
        </w:rPr>
        <w:t xml:space="preserve">городского округа </w:t>
      </w:r>
      <w:r>
        <w:rPr>
          <w:rFonts w:cs="Times New Roman" w:ascii="Times New Roman" w:hAnsi="Times New Roman"/>
          <w:sz w:val="24"/>
          <w:szCs w:val="24"/>
        </w:rPr>
        <w:t xml:space="preserve">и руководителям муниципальных организаций, расположенных на территории городского округа, в том числе представление интересов муниципальных организаций в судебных процессах. Рассмотрены и разрешены все заявления и жалобы, поступившие от граждан в 2022 году, в том числе выдано 6 договоров приватизации.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Разработано и направлено на утверждение в Думу городского округа 4 проекта нормативных правовых актов. Проведена правовая экспертиза 1476 проектов постановлений, распоряжений администрации городского округа, проектов решений Думы городского округа.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За 2022 год проведено 56 антикоррупционных экспертиз нормативных правовых актов администрации </w:t>
      </w:r>
      <w:r>
        <w:rPr>
          <w:rFonts w:eastAsia="Times New Roman" w:cs="Times New Roman" w:ascii="Times New Roman" w:hAnsi="Times New Roman"/>
          <w:sz w:val="24"/>
          <w:szCs w:val="24"/>
        </w:rPr>
        <w:t xml:space="preserve">городского округа </w:t>
      </w:r>
      <w:r>
        <w:rPr>
          <w:rFonts w:cs="Times New Roman" w:ascii="Times New Roman" w:hAnsi="Times New Roman"/>
          <w:sz w:val="24"/>
          <w:szCs w:val="24"/>
        </w:rPr>
        <w:t xml:space="preserve">и Думы городского округа, подготовлены антикоррупционные заключения.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Специалисты подразделения правового обеспечения приняли участие в рассмотрении 45 делах, в судах общей юрисдикции, в том числе апелляционной инстанции.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За 2022 год в суд общей юрисдикции подано 17 исковых заявлений об освобождении муниципального жилищного фонда, 16 заявлений – удовлетворено, в удовлетворении 1 заявления – отказано.  По результатам судебной работы освобождено 14 квартир. В досудебном порядке жилые помещения освобождены 6 нанимателями.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Арбитражном суде Свердловской области с участием администрации городского округа ЗАТО Свободный рассмотрено 13 дел (общая сумма предъявляемая к выплате 8 986 586 руб. 47 коп., удовлетворено решениями суда требований на сумму 5 979 285 руб. 66 коп.)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Ежемесячно направляются уведомления о погашении задолженности за наем муниципального жилищного фонда, по результатам данной работы в досудебном порядке в доход бюджета поступило около 120 тыс. рублей. В результате направления заявлений на выдачу судебных приказов по взысканию задолженности за наем муниципальных жилых помещений, судом выдано 14 судебных приказов, по которым сумма поступлений составила 60 тыс. руб.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Учет и распределение жилья</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2022 год в качестве нуждающихся в улучшении жилищных условий на учет в администрацию городского округа принято:</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для предоставления служебных жилых помещений - 46 семей.</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Предоставлено 266 жилых помещений муниципального жилищного фонда, из них:</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 договорам служебного найма - 178 квартир;</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 договорам коммерческого найма - 81 квартира;</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 договорам социального найма – 7 квартир.</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2022 год ЗАТО Свободный выделена социальная выплата для выдачи 3 государственных жилищных сертификата на сумму 9 558 018 (девять миллионов пятьсот пятьдесят восемь тысяч восемнадцать) рублей для обеспечения 3 семей жилой площадью в избранном постоянном месте жительства. </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проведено 5 заседаний комиссии по реализации программы государственных жилищных сертификатов.</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Муниципальные закупки</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2022 году согласно плана-графика, утвержденного распоряжением администрации городского округа, для выполнения задач по всем направлениям деятельности были проведены электронные закупочные процедуры (конкурс, аукцион, запрос котировок), заключен 41 муниципальный контракт, исполнено 38 муниципальных контрактов. По результатам проведения закупочных процедур и осуществлением контроля за выполнением работ, оказанием услуг экономия по муниципальным контрактам составила 2 392 997,31 руб.</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Благоустройство городского округа</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В рамках благоустройства городского округа ЗАТО Свободный в 2022 году проведены мероприятия: </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благоустройство территории, прилегающей к зоне отдыха и зданию администрации ГО ЗАТО Свободный, с установкой скамьи на подвесе «Невесомость» и заменой павильона артезианского колодца около ж.д. 17;</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ремонт контейнерных площадок, расположенных на территории ГО ЗАТО Свободный, с последующей установкой пластиковых контейнеров для раздельного накопления твердых коммунальных отходов;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благоустройство дворовой территории и пешеходной зоны у д. 13 по ул. Свободы;</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выполнение работ по приведению дорожных знаков на территории городского округа ЗАТО Свободный в соответствие с требованиями ПОДД;</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приобретение уличных скамеек в количестве 130 штук;</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приобретение пластиковых передвижных контейнеров для твердых коммунальных отходов в количестве 14 штук;</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поставка и монтаж световых новогодних конструкций;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ямочный ремонт автомобильных дорог;</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валка деревьев и кустарников;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устройство туалета и арки;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выполнение работ по устройству ледового городка.</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Регулярно вывозился мусор, производился покос травы.</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округе ЗАТО Свободный производился отлов животных без владельцев. Специализированной организацией отловлено 12 животных без владельцев.</w:t>
      </w:r>
      <w:r>
        <w:rPr>
          <w:rFonts w:cs="Times New Roman" w:ascii="Times New Roman" w:hAnsi="Times New Roman"/>
          <w:sz w:val="24"/>
          <w:szCs w:val="24"/>
        </w:rPr>
        <w:t xml:space="preserve"> </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Значимым событием для жителей городского округа в 2022 году стало открытие школьного стадиона. </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Жилищно-коммунальное хозяйство</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 рамках исполнения полномочий городского округа ЗАТО Свободный по содержанию муниципального жилищного фонда выполнено:</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приобретение бытовых электрических и газовых плит в муниципальные жилые помещения городского округа ЗАТО Свободный в количестве 129 штук;</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капитальный ремонт жилых помещений муниципального жилищного фонда городского округа ЗАТО Свободный(замена оконных и балконных блоков);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промывка артезианских скважин №10,11,12,13,19 для повышения качества питьевой воды для населения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капитальный ремонт ГВС в жилых домах № 22, 26, 3, 17, 27.</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 соответствии с региональной программой содействия капитальному ремонту общего имущества в многоквартирных домах Свердловской области в 2022 году проведен капитальный ремонт жилого дома по ул. Ленина, д. 29 со следующими видами работ:</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ремонт крыши;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ремонт фасада;</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ремонт подвальных помещений.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shd w:fill="FFFFFF" w:val="clear"/>
        </w:rPr>
        <w:t>В сфере жилищно-коммунального хозяйства было проведено мероприятие по приобретению реагентов для водоподготовки.</w:t>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Дорожная деятельность</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2022 году заключено 8 муниципальных контрактов.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 рамках исполнения муниципальных контрактов проводились следующие работы по содержанию улично-дорожной сети: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зимнее содержание:</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механизированная очистка от снега;</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сбор и вывоз снега на зауженных участках АД, парковочных площадках;</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устранение зимней скользкости (подсыпка противогололёдными материалами);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сбор и вывоз мусора.</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весенне-осенние мероприятия:</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чистка и вывоз мусора с водосточных канав;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ямочный ремонт дорожного полотна;</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восстановление дорожной разметки;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обрезка кустарников и подлеска вручную, погрузка и перевозка порубочных остатков.</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летние мероприятия:</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механизированная очистка покрытий от пыли и грязи;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кошение травы на обочинах и откосах автомобильных дорог;</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сбор и вывоз мусора с полос отвода автомобильных дорог;</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очистка от грязи, пыли, мусора элементов обустройство улично-дорожной сети (автобусные остановки, ограждения, дорожные знаки и указатели;</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замена дорожных знаков и стоек.</w:t>
      </w:r>
    </w:p>
    <w:p>
      <w:pPr>
        <w:pStyle w:val="Normal"/>
        <w:spacing w:lineRule="auto" w:line="240" w:before="0" w:after="0"/>
        <w:ind w:firstLine="567"/>
        <w:jc w:val="both"/>
        <w:rPr>
          <w:rFonts w:ascii="Times New Roman" w:hAnsi="Times New Roman" w:cs="Times New Roman"/>
          <w:b/>
          <w:b/>
          <w:sz w:val="24"/>
          <w:szCs w:val="24"/>
          <w:shd w:fill="FFFFFF" w:val="clear"/>
        </w:rPr>
      </w:pPr>
      <w:r>
        <w:rPr>
          <w:rFonts w:cs="Times New Roman" w:ascii="Times New Roman" w:hAnsi="Times New Roman"/>
          <w:sz w:val="24"/>
          <w:szCs w:val="24"/>
          <w:shd w:fill="FFFFFF" w:val="clear"/>
        </w:rPr>
        <w:t>Дополнительно в 2022 году (на средства, образовавшиеся от экономии торгов) для обустройства улично-дорожной сети были закуплены урны.</w:t>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Культура</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 xml:space="preserve">Единственным учреждением культуры в городском округе ЗАТО Свободный является Муниципальное бюджетное учреждение культуры Дворец культуры «Свободный». </w:t>
      </w:r>
    </w:p>
    <w:p>
      <w:pPr>
        <w:pStyle w:val="ListParagraph"/>
        <w:numPr>
          <w:ilvl w:val="0"/>
          <w:numId w:val="0"/>
        </w:numPr>
        <w:tabs>
          <w:tab w:val="clear" w:pos="708"/>
          <w:tab w:val="left" w:pos="1080" w:leader="none"/>
        </w:tabs>
        <w:spacing w:lineRule="auto" w:line="240" w:before="0" w:after="0"/>
        <w:ind w:left="0" w:firstLine="709"/>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течение 2022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округе ЗАТО Свободный, удовлетворение потребностей населения в культурных ценностях.</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ДК. </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Всего в 2022 году Дворцом культуры проведено 672 мероприятия.</w:t>
      </w:r>
    </w:p>
    <w:p>
      <w:pPr>
        <w:pStyle w:val="ListParagraph"/>
        <w:numPr>
          <w:ilvl w:val="0"/>
          <w:numId w:val="0"/>
        </w:numPr>
        <w:tabs>
          <w:tab w:val="clear" w:pos="708"/>
          <w:tab w:val="left" w:pos="720" w:leader="none"/>
          <w:tab w:val="left" w:pos="1080" w:leader="none"/>
        </w:tabs>
        <w:spacing w:lineRule="auto" w:line="240" w:before="0" w:after="0"/>
        <w:ind w:left="0" w:firstLine="709"/>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Общегородские мероприятия – это самые массовые мероприятия, собирающие наибольшее количество зрителей. В 2022 году такими традиционно стали:</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праздничные мероприятия, посвященные Дню защитника Отечества;</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праздничные мероприятия, посвященные Международному женскому дню;</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«Проводы зимы. Широкая Масленица»;</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торжественные мероприятия, посвященные Дню Победы;</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праздничные мероприятия, посвященные Дню защиты детей;</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праздничные мероприятия, посвященные Дню образования городского округа ЗАТО Свободный.</w:t>
      </w:r>
    </w:p>
    <w:p>
      <w:pPr>
        <w:pStyle w:val="ListParagraph"/>
        <w:numPr>
          <w:ilvl w:val="0"/>
          <w:numId w:val="0"/>
        </w:numPr>
        <w:tabs>
          <w:tab w:val="clear" w:pos="708"/>
          <w:tab w:val="left" w:pos="720" w:leader="none"/>
          <w:tab w:val="left" w:pos="1080"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Состоялось 2 цирковых и 12 театрализованных представлений, из которых самыми массовыми стали: детский спектакль «Маруся и цирк», музыкальный спектакль «Маша и Миша» Нижнетагильского театра кукол, спектакль «Мелочи жизни» Екатеринбургского театра «Алиса» и другие.</w:t>
      </w:r>
    </w:p>
    <w:p>
      <w:pPr>
        <w:pStyle w:val="ListParagraph"/>
        <w:numPr>
          <w:ilvl w:val="0"/>
          <w:numId w:val="0"/>
        </w:numPr>
        <w:tabs>
          <w:tab w:val="clear" w:pos="708"/>
          <w:tab w:val="left" w:pos="567" w:leader="none"/>
        </w:tabs>
        <w:spacing w:lineRule="auto" w:line="240" w:before="0" w:after="0"/>
        <w:ind w:left="0" w:hanging="0"/>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 xml:space="preserve">В 2022 году Дворец культуры «Свободный» продолжал проводить в онлайн-формате концерты, посвященные праздникам, памятным датам, а также концертно-развлекательные программы различной тематики. Среди проводимых концертов можно выделить ряд наиболее значимых, ярких и интересных. Таких как: онлайн церемония открытия Года народного искусства и нематериального культурного наследия народов России, онлайн-концерт ко Дню милосердия, культурно – образовательная акция «Ночь искусств» и другие. </w:t>
      </w:r>
    </w:p>
    <w:p>
      <w:pPr>
        <w:pStyle w:val="ListParagraph"/>
        <w:numPr>
          <w:ilvl w:val="0"/>
          <w:numId w:val="0"/>
        </w:numPr>
        <w:tabs>
          <w:tab w:val="clear" w:pos="708"/>
          <w:tab w:val="left" w:pos="1080" w:leader="none"/>
        </w:tabs>
        <w:spacing w:lineRule="auto" w:line="240" w:before="0" w:after="0"/>
        <w:ind w:left="0" w:firstLine="709"/>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рамках реализации национального проекта «Культура» с 2022 года Дворец культуры осуществляет программу «Пушкинская карта».</w:t>
      </w:r>
    </w:p>
    <w:p>
      <w:pPr>
        <w:pStyle w:val="ListParagraph"/>
        <w:numPr>
          <w:ilvl w:val="0"/>
          <w:numId w:val="0"/>
        </w:numPr>
        <w:tabs>
          <w:tab w:val="clear" w:pos="708"/>
          <w:tab w:val="left" w:pos="1080" w:leader="none"/>
        </w:tabs>
        <w:spacing w:lineRule="auto" w:line="240" w:before="0" w:after="0"/>
        <w:ind w:left="0" w:firstLine="709"/>
        <w:contextualSpacing/>
        <w:jc w:val="both"/>
        <w:outlineLvl w:val="0"/>
        <w:rPr>
          <w:rFonts w:ascii="Times New Roman" w:hAnsi="Times New Roman" w:eastAsia="Calibri" w:eastAsiaTheme="minorHAnsi"/>
          <w:color w:val="FF0000"/>
          <w:sz w:val="24"/>
          <w:szCs w:val="24"/>
          <w:lang w:eastAsia="en-US"/>
        </w:rPr>
      </w:pPr>
      <w:r>
        <w:rPr>
          <w:rFonts w:eastAsia="Calibri" w:ascii="Times New Roman" w:hAnsi="Times New Roman" w:eastAsiaTheme="minorHAnsi"/>
          <w:sz w:val="24"/>
          <w:szCs w:val="24"/>
          <w:lang w:eastAsia="en-US"/>
        </w:rPr>
        <w:t>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округа ЗАТО Свободный, Отделением Министерства внутренних дел Российской Федерации по закрытому административно-территориальному образованию поселок Свободный, и другими учреждениями. В течение года велась работа по обеспечению и проведению официальных мероприятий                42 Тагильской ракетной дивизии (собрания, встречи, видеоконференции), профессиональных и военных праздников.</w:t>
      </w:r>
    </w:p>
    <w:p>
      <w:pPr>
        <w:pStyle w:val="ListParagraph"/>
        <w:numPr>
          <w:ilvl w:val="0"/>
          <w:numId w:val="0"/>
        </w:numPr>
        <w:tabs>
          <w:tab w:val="clear" w:pos="708"/>
          <w:tab w:val="left" w:pos="720" w:leader="none"/>
          <w:tab w:val="left" w:pos="1080" w:leader="none"/>
        </w:tabs>
        <w:spacing w:lineRule="auto" w:line="240" w:before="0" w:after="0"/>
        <w:ind w:left="0" w:firstLine="709"/>
        <w:contextualSpacing/>
        <w:jc w:val="both"/>
        <w:outlineLvl w:val="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pPr>
        <w:pStyle w:val="ListParagraph"/>
        <w:numPr>
          <w:ilvl w:val="0"/>
          <w:numId w:val="0"/>
        </w:numPr>
        <w:tabs>
          <w:tab w:val="clear" w:pos="708"/>
          <w:tab w:val="left" w:pos="720" w:leader="none"/>
          <w:tab w:val="left" w:pos="1080" w:leader="none"/>
        </w:tabs>
        <w:spacing w:lineRule="auto" w:line="240" w:before="0" w:after="0"/>
        <w:ind w:left="0" w:firstLine="567"/>
        <w:contextualSpacing/>
        <w:jc w:val="both"/>
        <w:outlineLvl w:val="0"/>
        <w:rPr>
          <w:rFonts w:ascii="Times New Roman" w:hAnsi="Times New Roman" w:eastAsia="Calibri" w:eastAsiaTheme="minorHAnsi"/>
          <w:b/>
          <w:b/>
          <w:sz w:val="24"/>
          <w:szCs w:val="24"/>
          <w:highlight w:val="yellow"/>
          <w:lang w:eastAsia="en-US"/>
        </w:rPr>
      </w:pPr>
      <w:r>
        <w:rPr>
          <w:rFonts w:eastAsia="Calibri" w:eastAsiaTheme="minorHAnsi" w:ascii="Times New Roman" w:hAnsi="Times New Roman"/>
          <w:b/>
          <w:sz w:val="24"/>
          <w:szCs w:val="24"/>
          <w:highlight w:val="yellow"/>
          <w:lang w:eastAsia="en-US"/>
        </w:rPr>
      </w:r>
    </w:p>
    <w:p>
      <w:pPr>
        <w:pStyle w:val="ListParagraph"/>
        <w:numPr>
          <w:ilvl w:val="0"/>
          <w:numId w:val="0"/>
        </w:numPr>
        <w:tabs>
          <w:tab w:val="clear" w:pos="708"/>
          <w:tab w:val="left" w:pos="720" w:leader="none"/>
          <w:tab w:val="left" w:pos="1080" w:leader="none"/>
        </w:tabs>
        <w:spacing w:lineRule="auto" w:line="240" w:before="0" w:after="0"/>
        <w:ind w:left="0" w:firstLine="567"/>
        <w:contextualSpacing/>
        <w:jc w:val="center"/>
        <w:outlineLvl w:val="0"/>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Молодежная политика</w:t>
      </w:r>
      <w:r>
        <w:rPr>
          <w:rFonts w:ascii="Times New Roman" w:hAnsi="Times New Roman"/>
          <w:b/>
          <w:sz w:val="24"/>
          <w:szCs w:val="24"/>
        </w:rPr>
        <w:t xml:space="preserve"> и патриотическое воспитание молодежи</w:t>
      </w:r>
    </w:p>
    <w:p>
      <w:pPr>
        <w:pStyle w:val="ListParagraph"/>
        <w:numPr>
          <w:ilvl w:val="0"/>
          <w:numId w:val="0"/>
        </w:numPr>
        <w:tabs>
          <w:tab w:val="clear" w:pos="708"/>
          <w:tab w:val="left" w:pos="720" w:leader="none"/>
          <w:tab w:val="left" w:pos="1080" w:leader="none"/>
        </w:tabs>
        <w:spacing w:lineRule="auto" w:line="240" w:before="0" w:after="0"/>
        <w:ind w:left="0" w:firstLine="567"/>
        <w:contextualSpacing/>
        <w:jc w:val="both"/>
        <w:outlineLvl w:val="0"/>
        <w:rPr>
          <w:rFonts w:ascii="Times New Roman" w:hAnsi="Times New Roman" w:eastAsia="Calibri" w:eastAsiaTheme="minorHAnsi"/>
          <w:b/>
          <w:b/>
          <w:sz w:val="24"/>
          <w:szCs w:val="24"/>
          <w:highlight w:val="yellow"/>
          <w:lang w:eastAsia="en-US"/>
        </w:rPr>
      </w:pPr>
      <w:r>
        <w:rPr>
          <w:rFonts w:eastAsia="Calibri" w:eastAsiaTheme="minorHAnsi" w:ascii="Times New Roman" w:hAnsi="Times New Roman"/>
          <w:b/>
          <w:sz w:val="24"/>
          <w:szCs w:val="24"/>
          <w:highlight w:val="yellow"/>
          <w:lang w:eastAsia="en-US"/>
        </w:rPr>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Молодёжная политика на территории городского округа ЗАТО Свободный является составной частью стратегической линии администрации городского округа по обеспечению социально-экономического, политического и культурного развития городского округа</w:t>
        <w:br/>
        <w:t xml:space="preserve">ЗАТО Свободный. </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округе ЗАТО Свободный». </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Совет молодежи принимал участие в подготовке и проведении общегородских мероприятий, посвященных Дню государственного флага совместно </w:t>
        <w:br/>
        <w:t>с МБУК ДК «Свободный». В рамках проведения Дня молодого избирателя членами Совета молодежи была организована интеллектуальная игра «Выборы -дело серьезное». В состав Совета молодежи входят – 11 человек. Из них пять обучающихся МБОУ «СШ № 25» и по одному представителю от: учреждений дополнительного образования, дошкольного образования, учреждения культуры, здравоохранения.</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Одной из основных задач в работе является занятость несовершеннолетних и молодежи. В период летней оздоровительной кампании были трудоустроены 50 подростков на временную работу, 9 из них состоящих на учете в ТКДН.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Патриотическое воспитание, формирование патриотического сознания – одно из важнейших направлений. В муниципальном образовании сложилась система патриотического воспитания юных граждан, которая направлена на привитие любви и гордости к своей стране и малой родине.</w:t>
      </w:r>
      <w:r>
        <w:rPr>
          <w:rFonts w:cs="Times New Roman" w:ascii="Times New Roman" w:hAnsi="Times New Roman"/>
          <w:sz w:val="24"/>
          <w:szCs w:val="24"/>
          <w:highlight w:val="yellow"/>
        </w:rPr>
        <w:t xml:space="preserve"> </w:t>
      </w:r>
      <w:r>
        <w:rPr>
          <w:rFonts w:cs="Times New Roman" w:ascii="Times New Roman" w:hAnsi="Times New Roman"/>
          <w:sz w:val="24"/>
          <w:szCs w:val="24"/>
        </w:rPr>
        <w:t>На базе МБОУ «СШ № 25» функционирует военно-патриотический клуб «Патриот».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этого направления организуются мероприятия к знаменательным героическим датам России: конкурсы, фестивали, спортивные соревнования, смотр воинских достижений, слет учащихся кадетских и юнармейских отрядов, военно-спортивная игра «Зарница», акции и др. Одной из концептуальных основ патриотического воспитания школьников является обращение к событиям Великой Отечественной войны 1941 – 1945 годов. Ежегодно проходят мероприятия, посвящённые этой дате и дням воинской славы России.</w:t>
      </w:r>
      <w:r>
        <w:rPr>
          <w:rFonts w:eastAsia="Times New Roman" w:cs="Times New Roman" w:ascii="Times New Roman" w:hAnsi="Times New Roman"/>
          <w:sz w:val="24"/>
          <w:szCs w:val="24"/>
        </w:rPr>
        <w:t xml:space="preserve"> Для реализации поставленных задач администрацией городского округа организовано взаимодействие с органом молодежного самоуправления - Совет молодежи при Главе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Большим событием для городского округа ЗАТО Свободный стало проведение Открытого патриотического форума «Свободный» (далее – Форум), в котором приняло участие около 1000 человек из разных муниципалитетов. В программу Форума вошли следующие мероприятия: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практическая конференция (пленарное заседание и панельные дискуссии);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военно-спортивная игра «Зарница»;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культурные и гражданско-патриотические мероприятия;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экскурсионная программа;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встречи с экспертами;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торжественное открытие и закрытие Форума.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Результаты проведения Форума были освещены в СМИ и социальных сетях.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«Знамя Победы», «Пост № 1», «Бессмертный полк», «Письма Победы» и многие другие.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В целях формирования духовной зрелости и готовности к службе Отечеству с 2017 года на базе школы открыты кадетские классы.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Юные кадеты являются гордостью городского округа. Ежегодно они представляют честь муниципалитета в областных акциях и конкурсах, посвященных патриотическому воспитанию. В этом году они представляли регион на Всероссийской детско-юношеской военно-спортивной игре «Зарница».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Основными направлениями деятельности кадетов: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историко-краеведческое;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гражданско-патриотическое;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духовно-нравственное.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Все эти направления взаимосвязаны и дополняют друг друга. Кадет обучают стрелять, оказывать первую медицинскую помощь, ориентироваться по карте. Традиционно учащиеся кадетских классов несут вахту памяти у памятника Советскому солдату, занимаются волонтерской деятельностью, а также принимают участие в других мероприятиях.</w:t>
      </w:r>
    </w:p>
    <w:p>
      <w:pPr>
        <w:pStyle w:val="C25"/>
        <w:spacing w:before="0" w:after="0"/>
        <w:ind w:firstLine="708"/>
        <w:jc w:val="both"/>
        <w:rPr/>
      </w:pPr>
      <w:r>
        <w:rPr/>
        <w:t>В настоящее время волонтёрская деятельность набирает всё большую популярность, становится востребованной и распространяется практически на все сферы жизнедеятельности человека. Число желающих помогать растет. В волонтерство вовлечены педагоги, школьники, а также их родители. На сегодняшний день актив волонтерского отряда «КИВИ» (Клуб интересных волонтерских идей, инициатором создания которого стали также учащиеся школы) составляет 106 человек. Штаб акции «Мы Вместе» – 14 человек.</w:t>
      </w:r>
    </w:p>
    <w:p>
      <w:pPr>
        <w:pStyle w:val="C25"/>
        <w:spacing w:before="0" w:after="0"/>
        <w:ind w:firstLine="708"/>
        <w:jc w:val="both"/>
        <w:rPr/>
      </w:pPr>
      <w:r>
        <w:rPr/>
        <w:t>Представители волонтерского отряда оказывают любую посильную помощь всем нуждающимся, проводят волонтерские субботники, ярмарки, осуществляют доставку воды и газет ветеранам и пожилым людям, оказывают адресную помощь. Волонтерский концерт, встречи с ветеранами – это возможность передачи бесценного опыта от старшего поколения младшему. Деятельность отряда освещается через социальные сети, информационный дайджест детской телестудии</w:t>
      </w:r>
      <w:r>
        <w:rPr>
          <w:bCs/>
          <w:color w:val="000000"/>
        </w:rPr>
        <w:t>.</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cs="Times New Roman" w:ascii="Times New Roman" w:hAnsi="Times New Roman"/>
          <w:sz w:val="24"/>
          <w:szCs w:val="24"/>
        </w:rPr>
        <w:t>Волонтеры активно участвовали в акциях «Диктант Победы», «Свеча памяти», «10 000 добрых дел», в концертных программах, волонтерских сборах, в адресной помощи</w:t>
      </w:r>
      <w:r>
        <w:rPr>
          <w:rFonts w:eastAsia="Times New Roman" w:cs="Times New Roman" w:ascii="Times New Roman" w:hAnsi="Times New Roman"/>
          <w:sz w:val="24"/>
          <w:szCs w:val="24"/>
        </w:rPr>
        <w:t xml:space="preserve"> нуждаю</w:t>
      </w:r>
      <w:r>
        <w:rPr>
          <w:rFonts w:eastAsia="Times New Roman" w:cs="Times New Roman" w:ascii="Times New Roman" w:hAnsi="Times New Roman"/>
          <w:color w:val="000000"/>
          <w:sz w:val="24"/>
          <w:szCs w:val="24"/>
        </w:rPr>
        <w:t>щимся людям и многое другое.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 1 сентября 2022 года МБОУ «СШ № 25» стало участником нового проекта, разработанного Министерством просвещения РФ в целях формирования у юного поколения россиян чувства патриотизма и гражданственности. Теперь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 Ключевая тема, ценностная ориентация: Россия - сильная, крепкая, независимая и мощная держава, у которой свой собственный путь, которая может решить практически любые проблемы. Также в рамках проекта «Навигаторы детства» в МБОУ «СШ № 25» введена должность советника директора по воспитанию,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Созданы Центры детских инициатив –новые школьные пространства, где ученики создают и реализуют собственные внеклассные проекты, встречаются с представителями детских и молодежных объединений.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Оздоровительная кампания</w:t>
      </w:r>
    </w:p>
    <w:p>
      <w:pPr>
        <w:pStyle w:val="Normal"/>
        <w:spacing w:lineRule="auto" w:line="240" w:before="0" w:after="0"/>
        <w:ind w:firstLine="567"/>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Заключено соглашение между Министерством образования и молодежной политики Свердловской области и администрацией городского округа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2022 году на организацию отдыха детей в каникулярное время».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Объем средств, запланированный и выделенный на отдых и оздоровление детей в 2022 году, составил: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Всего: 6 179 834 рубля 40 копеек.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Местный бюджет – 3 235 234 рублей 40 копеек.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Областной бюджет –2 944 600 рублей 00 копеек.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Израсходовано- 5 005 946 рублей 40 копеек.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Охвачено всеми видами отдыха - 1386 человек при запланированном объеме -840 человек.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Показатели выполнены на 165 %.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Была проведена летняя оздоровительная кампания в 2022 году. Заключили 3 муниципальных контракта со следующими организациями отдыха и оздоровления: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санаторий «Курьи» (г. Сухой Лог);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культурно-оздоровительный центр «Премьера» (Краснодарский край, г. Анапа);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санаторий «Жемчужина России» (Краснодарский край, г. Анапа);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лагерь «Руш» (г. Нижний Тагил)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Санаторно-курортное оздоровление в учебное время было организовано в санатории «Талый ключ» (Артемовский район п. Сосновый Бор).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 территории городского округа функционировал лагерь дневного пребывания на базе МБОУ «СШ № 25», в котором по результатам двух смен отдохнуло 225 детей. </w:t>
      </w:r>
    </w:p>
    <w:p>
      <w:pPr>
        <w:pStyle w:val="Normal"/>
        <w:spacing w:lineRule="auto" w:line="240" w:before="0" w:after="0"/>
        <w:ind w:firstLine="567"/>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Спорт</w:t>
      </w:r>
    </w:p>
    <w:p>
      <w:pPr>
        <w:pStyle w:val="Normal"/>
        <w:spacing w:lineRule="auto" w:line="240" w:before="0" w:after="0"/>
        <w:ind w:firstLine="567"/>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Спортивную деятельность на территории городского округа осуществляет МБУ ДО ДЮСШ.</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было проведено 28 спортивных мероприятий, общее количество принявших участие 1595 человек.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Воспитанники детско-юношеской спортивной школы приняли участие в 68 соревнованиях муниципального, регионального (областного), межрегионального и всероссийского уровней. Количество занятых мест составило: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 место – 161;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место – 159;</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место – 144.</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Присвоено спортивных разрядов: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III юношеский спортивный разряд – 24 спортсмена;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II юношеский спортивный разряд – 18 спортсменов;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I юношеский спортивный разряд – 5 спортсменов;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III спортивный разряд – 4 спортсмена;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II спортивный разряд – 1 спортсмен.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 воспитанников ДЮСШ вошли в состав спортивных сборных команд Свердловской области, 1 спортсмен входит в состав сборной команды Российской Федерации по тхэквондо.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Педагогические работники ДЮСШ имеют высокий профессиональный уровень.</w:t>
        <w:br/>
        <w:t>80 % педагогического состава имеют квалификационную категорию, из них 30 % педагогов имеют высшую квалификационную категорию.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 тренеры-преподаватели прошли курсы повышения квалификации по программам «Совершенствование антидопинговой политики в субъектах Российской федерации», «Безопасность занятий спортом».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осуществлялось методическое сопровождение следующих городских спортивно-массовых мероприятий: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«Кросс Нации 2022»;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Всероссийские массовые соревнования «Оранжевый мяч»;</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Всероссийская лыжная гонка «Лыжня России – 2022»;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Спортивные соревнования по мини-футболу, стритболу, баскетболу, волейболу, пауэрлифтингу приуроченные ко Дню Защитника Отечества;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Первенства городского округа: по плаванию, баскетболу, патрульной гонке, настольному теннису.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2022 году приняло участие в выполнении нормативов 497 человек, из них 263 человека на знаки отличия.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МБУ ДО ДЮСШ в рамках оздоровительной кампании был проведен сплав по реке Чусовая, численность детей, принявших участие в мероприятии 22 человека, и однодневный пеший поход на гору «Медведь камень» с переправой через реку с использованием альпинистского оборудования, численность детей, принявших участие, составила 35 человек.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Актуальной проблемой остается нехватка спортивных площадей и помещений. На данный момент большинство секций проводятся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pPr>
        <w:pStyle w:val="Normal"/>
        <w:spacing w:lineRule="auto" w:line="240" w:before="0" w:after="0"/>
        <w:ind w:firstLine="567"/>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Образование</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Одним из актуальных вопросов современного общества является доступность образования. Данное право реализуется через созданную сеть образовательных учреждений, которая за отчетный период была изменена. </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Так на основании постановления администрации городского округа ЗАТО Свободный от 14.02.2022 № 55 было реорганизовано Муниципальное бюджетное дошкольное образовательное учреждение «Детский сад № 17 «Алёнушка» в форме присоединения к нему Муниципального бюджетного дошкольного образовательного учреждения «Детский сад «Солнышко», на основании постановления администрации городского округа ЗАТО Свободный от 30.05.2022 № 283 было реорганизовано Муниципальное бюджетное учреждение дополнительного образования «Детская школа искусств» в форме присоединения к нему Муниципального бюджетного учреждения дополнительного образования Центр детского творчества «Калейдоскоп».</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Таким образом, в настоящее время на территории городского округа в сфере образования осуществляют деятельность 5 образовательных учреждений —</w:t>
        <w:br/>
        <w:t>МБОУ «СШ № 25», МБДОУ № 17, МБУ ДО «ДШИ», МБУ ДО ДЮСШ, МКУ ДО СЮТ.</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Развитие системы образования в той или иной степени обусловлено демографическими процессами, которые влияют на рост или снижение потребностей в услугах образовательных учреждений. Учитывая актуальность в доступности дошкольных образовательных организаций, приоритетом муниципальной образовательной политики стали мероприятия, которые способствовали ее решению. </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В рамках реализации постановления Правительства Российской Федерации на территории городского округа ЗАТО Свободный функционирует автоматизированная информационная система «Е-услуги. Образование» по учету детей дошкольного возраста.</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2022 году выполнен целевой показатель по доступности дошкольного образования и составляет 100%, тем самым уже на протяжении нескольких лет решена проблема очерёдности, актуальная очередь детей, нуждающихся в устройстве в дошкольную образовательную организацию, отсутствует. </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По состоянию на 31.12.2022 в электронной очереди на получение места в детский сад было зарегистрировано 135 человек, так называемый отложенный спрос, который образуется за счет детей-очередников до 1 года жизни, а также детей, с более поздней желаемой датой зачисления.</w:t>
      </w:r>
    </w:p>
    <w:p>
      <w:pPr>
        <w:pStyle w:val="Normal"/>
        <w:spacing w:lineRule="auto" w:line="240" w:before="0" w:after="0"/>
        <w:ind w:firstLine="567"/>
        <w:jc w:val="both"/>
        <w:rPr>
          <w:rFonts w:ascii="Times New Roman" w:hAnsi="Times New Roman" w:cs="Times New Roman"/>
          <w:sz w:val="24"/>
          <w:szCs w:val="24"/>
        </w:rPr>
      </w:pPr>
      <w:r>
        <w:rPr>
          <w:rFonts w:eastAsia="Calibri" w:cs="Times New Roman" w:ascii="Times New Roman" w:hAnsi="Times New Roman"/>
          <w:sz w:val="24"/>
          <w:szCs w:val="24"/>
        </w:rPr>
        <w:t>В детском саду осуществляется планомерная работа по обеспечению необходимых условий по оснащению образовательного</w:t>
      </w:r>
      <w:r>
        <w:rPr>
          <w:rFonts w:cs="Times New Roman" w:ascii="Times New Roman" w:hAnsi="Times New Roman"/>
          <w:sz w:val="24"/>
          <w:szCs w:val="24"/>
        </w:rPr>
        <w:t xml:space="preserve"> пространства, по созданию предметно-развивающей среды, а также по непрерывному профессиональному развитию педагогов. Развивающая среда в дошкольном образовательном учреждении выступает не только условием творческого саморазвития личности ребенка, фактором оздоровления, коррекционного развития, но и показателем профессионализма педагогов.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Взаимодействие детских садов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Количество обучающихся в МБОУ «СШ № 25» на протяжении последних 3-х лет остается достаточно стабильным.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Общее количество учащихся по программам начального, основного и среднего общего образования на 2022–2023 учебный год составляет 977 человек.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 вторую смену занимается 162 человека, что составляет 17 % от общего количества обучающихся.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Для учащихся кадетских классов, в связи с режимом полного дня, организовано 3-х разовое питание.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1 сентября 2022 года бесплатное горячее питание (завтрак) за счет средств областного бюджета организовано для обучающихся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Одним из главных показателей качества образования является проведение государственной итоговой аттестации для обучающихся.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Для проведения государственной итоговой аттестации была организована работа пункта проведения экзаменов на базе школы. Во всех аудиториях, в штабе пункта проведения экзамена установлены системы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государственная итоговая аттестация для обучающихся 9-х классов проводилась в соответствии с Порядком проведения государственной итоговой аттестации по образовательным программам основного общего образования, к государственной итоговой аттестации был допущен 71 обучающийся, что составляет 100%.</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Для 70 обучающихся государственная итоговая аттестация была организована в форме основного государственного экзамена, обучающиеся сдавали два обязательных предмета – по русскому языку и математике и 2 предмета по выбору. (география, информатика, обществознание, биология, химия, история, английский язык, физика, литература).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Один выпускник (ребёнок-инвалид) сдавал государственную итоговую аттестацию в форме государственного выпускного экзамена по двум предметам: русский язык, математика.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итогам сдачи государственной итоговой аттестации в основной и дополнительные периоды все обучающиеся 9 класса получили аттестаты об основном общем образовании , что составляет 100%, из них 5 человек получили аттестат об основном общем образовании с отличием, что составляет 7%.</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государственная итоговая аттестация для обучающихся 11-х классов проводилась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к государственной итоговой аттестации было допущено 37 обучающихся, что составило 100%, также в Едином государственном экзамене принимали участие 4 выпускника прошлых лет.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Распределение интересов участников ЕГЭ к сдаче предметов по выбору в 2022 году полностью соответствует общероссийским тенденциям. В первую тройку вошли: обществознание, физика, биология.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Наименьшее количество участников ЕГЭ отмечается по истории, информатике и ИКТ. В этом учебном году эти экзамены сдавали по 1-2 человеку.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 предметам по выбору в сравнении с показателями 2021 года повышен средний (школьный) балл по литературе, химии, обществознанию, английскому языку, информатике и ИКТ.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Снижение среднего тестового балла за 2 года происходит по следующим учебным предметам: биология, физика.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сравнении с областными показателями: средний балл выше областного по таким предметам как информатика и ИКТ, английский язык, обществознание, литература.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Четыре обучающихся, претендующих на получение медали «За особые успехи в учении», прошли минимальный порог в 70 баллов на ЕГЭ по всем сдаваемым учебным предметам, в том числе по выбору, и получили медаль.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Одной из форм независимой оценки качества образования также является результативность участия школьников в предметных олимпиадах.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Ежегодно учащиеся принимают участие в школьном, муниципальном и региональном этапах Всероссийской олимпиады школьников.</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2021-2022 учебном году олимпиада на школьном этапе была проведена по 20 общеобразовательным предметам. В школьном этапе приняли участие 407 обучающиеся 4-11 классов. Победителями и призерами стали 183 учащихся.</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сравнению с прошлым учебным годом количество участников школьного этапа Всероссийской олимпиады повысилось на 5 обучающихся. Количество победителей и призёров увеличилось на 43 обучающихся.</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Муниципальный этап Всероссийской олимпиады школьников проводился по 16 предметам.</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Участниками муниципального этапа стали 76 обучающихся 7-11 классов из числа победителей и призеров школьного этапа олимпиады, набравших необходимое количество баллов.</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 итогам работы муниципальной комиссии определены призеры муниципального этапа ВсОШ: 24 – призеров, победители отсутствуют. </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региональном этапе Всероссийской олимпиады школьников приняли участие 5 человек, два из них стал призерами по предмету — право.</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поддержки лиц,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округа ЗАТО Свободный, постановляем администрации городского округа ЗАТО Свободный от 04.08.2021 № 420 было принято Положение об установлении специальных денежных поощрений.</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результатам завершения 2021/2022 учебного года 61 обучающийся был награжден денежной выплатой.</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В МБОУ «СШ № 25» обучаются дети, имеющие ограниченные возможности здоровья, в том числе дети-инвалиды. 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диагностико-коррекционное, психолого-педагогическое сопровождение ребенка, проведение комплексных психо-коррекционных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организовано частично-индивидуальное обучение. 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 </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Огромную роль в формировании такой личности играют учреждения дополнительного образования.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Большой вклад в развитие талантливых детей в области спорта вносит МБУ ДО ДЮСШ. В прошедшем учебном году большое внимание при проведении спортивных мероприятий уделялось патриотическому воспитанию обучающихся, приобщению к занятиям активными видами спорта, воспитанию активной жизненной позиции.</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Самыми результативными и востребованными видами спорта в прошедшем учебном году стали плавание, мини-футбол и борьба тхэквондо.</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Значительное место в деятельности МБУ ДО ДЮСШ занимает организация и проведение спортивно-массовых мероприятий, направленных на формирование устойчивого интереса детей к занятиям спортом и физкультурой.</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Важным направлением в работе МКУ ДО Станция юных техников является и развитие технических и творческих способностей обучающихся, что доказывают результаты деятельности учреждения.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Успешно реализуются востребованные программы технической направленности, в том числе «Робототехника», «Лего-конструирование», «Киберспорт».</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В 2022 году для детей нашего городского открыла свои двери Детская школа искусств.</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Детская школа искусств реализует 8 дополнительных предпрофессиональных общеобразовательных программ в области музыкального, декоративно-прикладного и хореографического искусства, а так </w:t>
      </w:r>
      <w:bookmarkStart w:id="2" w:name="_GoBack"/>
      <w:bookmarkEnd w:id="2"/>
      <w:r>
        <w:rPr>
          <w:rFonts w:cs="Times New Roman" w:ascii="Times New Roman" w:hAnsi="Times New Roman"/>
          <w:bCs/>
          <w:sz w:val="24"/>
          <w:szCs w:val="24"/>
        </w:rPr>
        <w:t xml:space="preserve">же 10 дополнительных общеразвивающих общеобразовательных программ в области инструментального исполнительства, вокала, изобразительного искусства и хореографии. </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В настоящее время в Детской школе искусств функционируют 7 концертных творческих коллективов, среди которых хоровые коллективы, вокальные и инструментальные ансамбли, ведущие активную концертную деятельность на концертных площадках школы городского округа и Нижнетагильского территориального методического объединения. </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За отчетный период обучающиеся МБУ ДО «ДШИ» принимали участие и становились лауреатами и призерами в конкурсах различного уровня: </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международный уровень: 34 обучающихся;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всероссийский уровень: 49 обучающихся;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областной уровень: 3 обучающихся;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территориальный уровень: 5 обучающихся.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В 2022 году планово-экономическая деятельность системы образования городского округа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разработку расходных обязательств по организации предоставления общего образования на территории муниципалитета.</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в которых находятся обучающиеся и воспитанники, непосредственно влияют на</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100 % учебных заведений имеют все виды благоустройства.</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2022 году выделено 65 060,3 тыс. рублей. </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br/>
        <w:t>2022-2023 годов.</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Все образовательные организации оснащены системами видеонаблюдения и кнопками экстренного вызова.</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Социальная политика</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целях реализации социальной политики на территории городского округа, осуществлялись следующие мероприятия: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 рамках празднования 77-й годовщины Победы в Великой Отечественной войне 1941-1945 годов проведено торжественное прохождение военнослужащих и возложение цветов к Памятнику Неизвестного солдата, проведены флеш-моб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волонтерами, руководителем ГАУСО СО «КЦСОН», представителями СМИ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военнослужащих;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ко Дню пенсионера прошёл «Месячник пенсионера», в рамках которого пенсионерам были организованы профилактические медицинские осмотры, включая углубленную диспансеризацию, организована работа по доставке продуктов, лекарственных препаратов и бытовому обслуживанию одиноких и маломобильных граждан, состоялся концерт «Мудрость осени – счастливое мгновение…» и другие мероприятия. Также организовано вручение продуктовых наборов;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 рамках Декады инвалидов были предоставлены бесплатные услуги по ремонту систем водоснабжения и энергоснабжения в жилых помещениях для инвалидов, оказывалась помощь маломобильным гражданам на дому в рамках волонтерской программы помощи на дому, организовано бесплатное посещение бассейна для инвалидов и другие мероприятия;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организованы новогодние мероприятия для детей в целях реализации которых проведена работа по уточнению списков детей-инвалидов, сирот, опекаемых, детей из семей «группы риска» и детей из многодетных малообеспеченных семей для вручения подарков на Новогодней ёлке. Всего охвачено 138 детей;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организованы новогодние мероприятия для членов семей граждан, принимающих (принимавших) участие в специальной военной операции. Охвачено 87 человек, в том числе</w:t>
        <w:br/>
        <w:t>69 детей;</w:t>
      </w:r>
    </w:p>
    <w:p>
      <w:pPr>
        <w:pStyle w:val="ConsPlusNormal1"/>
        <w:numPr>
          <w:ilvl w:val="0"/>
          <w:numId w:val="0"/>
        </w:numPr>
        <w:ind w:firstLine="567"/>
        <w:jc w:val="both"/>
        <w:outlineLvl w:val="1"/>
        <w:rPr>
          <w:rFonts w:ascii="Times New Roman" w:hAnsi="Times New Roman" w:cs="Times New Roman"/>
          <w:sz w:val="24"/>
          <w:szCs w:val="24"/>
        </w:rPr>
      </w:pPr>
      <w:r>
        <w:rPr>
          <w:rFonts w:cs="Times New Roman" w:ascii="Times New Roman" w:hAnsi="Times New Roman"/>
          <w:sz w:val="24"/>
          <w:szCs w:val="24"/>
        </w:rPr>
        <w:t xml:space="preserve">- проведена благотворительная акция «Ёлка желаний».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был организован сбор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На базе МБУК ДК «Свободный» проведены благотворительные акции, приуроченные к сбору гуманитарной помощи: «Свободный-Донбассу», «Своих не бросаем»,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 Одна часть собранных денежных средств направлена в Фонд «Верь и живи», еще часть передана волонтерскому движению «Шьем для наших». Обеспечена отправка гуманитарной помощи в г. Елань, 32 военный городок.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rPr>
        <w:t>11 сентября 2022 года на территории городского округа</w:t>
        <w:br/>
        <w:t>ЗАТО Свободный состоялись выборы Губернатора Свердловской области, в которых приняли участие 55,01 % населения. В период проведения выборов свою работу осуществляли 5 избирательных участков.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Здравоохранение</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567"/>
        <w:jc w:val="both"/>
        <w:rPr>
          <w:rStyle w:val="ConsPlusNormal"/>
          <w:rFonts w:ascii="Times New Roman" w:hAnsi="Times New Roman" w:cs="Times New Roman"/>
          <w:sz w:val="24"/>
          <w:szCs w:val="24"/>
        </w:rPr>
      </w:pPr>
      <w:r>
        <w:rPr>
          <w:rStyle w:val="ConsPlusNormal"/>
          <w:rFonts w:cs="Times New Roman" w:ascii="Times New Roman" w:hAnsi="Times New Roman"/>
          <w:sz w:val="24"/>
          <w:szCs w:val="24"/>
        </w:rPr>
        <w:t xml:space="preserve">Комплекс учреждений здравоохранения городского округа ЗАТО Свободный представлен двумя лечебными учреждениями: </w:t>
      </w:r>
    </w:p>
    <w:p>
      <w:pPr>
        <w:pStyle w:val="ConsPlusNormal1"/>
        <w:ind w:firstLine="567"/>
        <w:jc w:val="both"/>
        <w:rPr>
          <w:rStyle w:val="ConsPlusNormal"/>
          <w:rFonts w:ascii="Times New Roman" w:hAnsi="Times New Roman" w:cs="Times New Roman"/>
          <w:sz w:val="24"/>
          <w:szCs w:val="24"/>
        </w:rPr>
      </w:pPr>
      <w:r>
        <w:rPr>
          <w:rStyle w:val="ConsPlusNormal"/>
          <w:rFonts w:cs="Times New Roman" w:ascii="Times New Roman" w:hAnsi="Times New Roman"/>
          <w:sz w:val="24"/>
          <w:szCs w:val="24"/>
        </w:rPr>
        <w:t>1. Государственное автономное учреждение здравоохранения Свердловской области «Городская больница ЗАТО Свободный» в состав которой входят: участковая служба, дошкольно-школьное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pPr>
        <w:pStyle w:val="ConsPlusNormal1"/>
        <w:ind w:firstLine="567"/>
        <w:jc w:val="both"/>
        <w:rPr>
          <w:rStyle w:val="ConsPlusNormal"/>
          <w:rFonts w:ascii="Times New Roman" w:hAnsi="Times New Roman" w:cs="Times New Roman"/>
          <w:sz w:val="24"/>
          <w:szCs w:val="24"/>
        </w:rPr>
      </w:pPr>
      <w:r>
        <w:rPr>
          <w:rStyle w:val="ConsPlusNormal"/>
          <w:rFonts w:cs="Times New Roman" w:ascii="Times New Roman" w:hAnsi="Times New Roman"/>
          <w:sz w:val="24"/>
          <w:szCs w:val="24"/>
        </w:rPr>
        <w:t>2. 19 отдельный медицинский батальон. Находится в ведении Министерства обороны Российской Федерации.</w:t>
      </w:r>
    </w:p>
    <w:p>
      <w:pPr>
        <w:pStyle w:val="ConsPlusNormal1"/>
        <w:ind w:firstLine="567"/>
        <w:jc w:val="both"/>
        <w:rPr>
          <w:rStyle w:val="ConsPlusNormal"/>
          <w:rFonts w:ascii="Times New Roman" w:hAnsi="Times New Roman" w:cs="Times New Roman"/>
          <w:sz w:val="24"/>
          <w:szCs w:val="24"/>
        </w:rPr>
      </w:pPr>
      <w:r>
        <w:rPr>
          <w:rStyle w:val="ConsPlusNormal"/>
          <w:rFonts w:cs="Times New Roman" w:ascii="Times New Roman" w:hAnsi="Times New Roman"/>
          <w:sz w:val="24"/>
          <w:szCs w:val="24"/>
        </w:rPr>
        <w:t>Мощность ГАУЗ СО «ГБ ЗАТО Свободный» плановая 75 посещений в смену, фактическая мощность 75 посещений в смену. За 2022 год учтено более 68 тыс. посещений, из них детьми более 37 тыс. посещений. Процент профилактических посещений 54 %. Осмотрено на дому 5204 человека, из них 2785 ребенка. Выполнено вызовов СМП - 2135, неотложных вызовов - 4091.</w:t>
      </w:r>
    </w:p>
    <w:p>
      <w:pPr>
        <w:pStyle w:val="ConsPlusNormal1"/>
        <w:jc w:val="both"/>
        <w:rPr>
          <w:rFonts w:ascii="Times New Roman" w:hAnsi="Times New Roman" w:cs="Times New Roman"/>
          <w:sz w:val="24"/>
          <w:szCs w:val="24"/>
        </w:rPr>
      </w:pPr>
      <w:r>
        <w:rPr>
          <w:rFonts w:cs="Times New Roman" w:ascii="Times New Roman" w:hAnsi="Times New Roman"/>
          <w:sz w:val="24"/>
          <w:szCs w:val="24"/>
        </w:rPr>
        <w:t>В рамках реализации национального проекта «Здравоохранение» ГАУЗ СО «Городская больница ЗАТО Свободный» осуществляются профилактические медицинские осмотры, диспансеризация, углубленная диспансеризация населения. По итогам 2022 года:</w:t>
      </w:r>
    </w:p>
    <w:p>
      <w:pPr>
        <w:pStyle w:val="ConsPlusNormal1"/>
        <w:jc w:val="both"/>
        <w:rPr>
          <w:rFonts w:ascii="Times New Roman" w:hAnsi="Times New Roman" w:cs="Times New Roman"/>
          <w:sz w:val="24"/>
          <w:szCs w:val="24"/>
        </w:rPr>
      </w:pPr>
      <w:r>
        <w:rPr>
          <w:rFonts w:cs="Times New Roman" w:ascii="Times New Roman" w:hAnsi="Times New Roman"/>
          <w:sz w:val="24"/>
          <w:szCs w:val="24"/>
        </w:rPr>
        <w:t>-  охват населения профилактическими осмотрами составляет 101% (план - 438 человек, факт - 444 человека);</w:t>
      </w:r>
    </w:p>
    <w:p>
      <w:pPr>
        <w:pStyle w:val="ConsPlusNormal1"/>
        <w:jc w:val="both"/>
        <w:rPr>
          <w:rFonts w:ascii="Times New Roman" w:hAnsi="Times New Roman" w:cs="Times New Roman"/>
          <w:sz w:val="24"/>
          <w:szCs w:val="24"/>
        </w:rPr>
      </w:pPr>
      <w:r>
        <w:rPr>
          <w:rFonts w:cs="Times New Roman" w:ascii="Times New Roman" w:hAnsi="Times New Roman"/>
          <w:sz w:val="24"/>
          <w:szCs w:val="24"/>
        </w:rPr>
        <w:t>- охват диспансеризацией взрослого населения 100% (план - 1090 человек, факт - 1093 человека).</w:t>
      </w:r>
    </w:p>
    <w:p>
      <w:pPr>
        <w:pStyle w:val="ConsPlusNormal1"/>
        <w:jc w:val="both"/>
        <w:rPr>
          <w:rFonts w:ascii="Times New Roman" w:hAnsi="Times New Roman" w:cs="Times New Roman"/>
          <w:sz w:val="24"/>
          <w:szCs w:val="24"/>
        </w:rPr>
      </w:pPr>
      <w:r>
        <w:rPr>
          <w:rFonts w:cs="Times New Roman" w:ascii="Times New Roman" w:hAnsi="Times New Roman"/>
          <w:sz w:val="24"/>
          <w:szCs w:val="24"/>
        </w:rPr>
        <w:t>- охват углубленной диспансеризацией взрослого населения 1 категории составляет 225 % (план - 8 человек, факт — 18 человек).</w:t>
      </w:r>
    </w:p>
    <w:p>
      <w:pPr>
        <w:pStyle w:val="ConsPlusNormal1"/>
        <w:jc w:val="both"/>
        <w:rPr>
          <w:rFonts w:ascii="Times New Roman" w:hAnsi="Times New Roman" w:cs="Times New Roman"/>
          <w:sz w:val="24"/>
          <w:szCs w:val="24"/>
        </w:rPr>
      </w:pPr>
      <w:r>
        <w:rPr>
          <w:rFonts w:cs="Times New Roman" w:ascii="Times New Roman" w:hAnsi="Times New Roman"/>
          <w:sz w:val="24"/>
          <w:szCs w:val="24"/>
        </w:rPr>
        <w:t>- охват углубленной диспансеризации взрослого населения 2 категории составляет 135 % (план - 211 человек, факт — 286 человек).</w:t>
      </w:r>
    </w:p>
    <w:p>
      <w:pPr>
        <w:pStyle w:val="ConsPlusNormal1"/>
        <w:ind w:firstLine="567"/>
        <w:jc w:val="both"/>
        <w:rPr>
          <w:rStyle w:val="ConsPlusNormal"/>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Предпринимательство</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реализации муниципальной программы «Развитие субъектов малого и среднего предпринимательства» в 2022 году проведено праздничное мероприятие ко Дню российского предпринимательства.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качестве имущественной поддержки предпринимательской деятельности (национальный проект «Малое и среднее предпринимательство») администрацией городского округа ЗАТО Свободный 6 индивидуальным предпринимателям предоставляется в пользование на долгосрочной основе недвижимое муниципальное имущество.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Согласно данным Единого государственного реестра индивидуальных предпринимателей на территории городского округа ЗАТО Свободный зарегистрировано 92 индивидуальных предпринимателя, а также 102 человека зарегистрированы как самозанятые.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Гражданская оборона и пожарная безопасность</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2022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округа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2022 год.</w:t>
      </w:r>
    </w:p>
    <w:p>
      <w:pPr>
        <w:pStyle w:val="Normal"/>
        <w:widowControl w:val="false"/>
        <w:spacing w:lineRule="auto" w:line="240" w:before="0" w:after="0"/>
        <w:ind w:firstLine="73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Чрезвычайных ситуаций в 2022 году на территории городского округа ЗАТО Свободный допущено не было.</w:t>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Деятельность администрации городского округа по решению вопросов, поставленных Думой городского округа в 2022 году</w:t>
      </w:r>
    </w:p>
    <w:p>
      <w:pPr>
        <w:pStyle w:val="Normal"/>
        <w:spacing w:lineRule="auto" w:line="24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Cs/>
          <w:sz w:val="24"/>
          <w:szCs w:val="24"/>
        </w:rPr>
        <w:t>Вопросы, поставленные Думой городского округа в 2022 году, выполнены в полном объеме.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10-е очередное заседание Думы городского округа 23.03.2022г.</w:t>
      </w:r>
      <w:r>
        <w:rPr>
          <w:rFonts w:cs="Times New Roman" w:ascii="Times New Roman" w:hAnsi="Times New Roman"/>
          <w:sz w:val="24"/>
          <w:szCs w:val="24"/>
        </w:rPr>
        <w:t xml:space="preserve"> Рекомендовать главе городского округа принять соответствующие меры к лицам, допустившим образование недостатков, и по устранению недостатков, изложенных в акте проверки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Главе городского округа на очередном заседании Думы городского округа доложить о результатах устранения недостатков.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соответствии с пунктом 3 Решения Думы городского округа</w:t>
        <w:br/>
        <w:t>ЗАТО Свободный от 23.03.2022 № 10/17, результаты контрольного мероприятия Контрольного органа городского органа ЗАТО Свободный «Проверка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 были рассмотрены. Замечания приняты к сведению.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Приняты следующие меры по устранению нарушений: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Усилен контроль за целевым и эффективным расходованием бюджетных средств в учреждении;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Согласно акту проверки от 05.03.2022 № 1 сроки утверждения муниципальных заданий для образовательных организаций в 2020-2021 гг. не нарушены;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Расчет объема субсидии на выполнение муниципального задания производится на основании нормативных затрат на оказание муниципальных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муниципального задания усилен.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 xml:space="preserve">11-е очередное заседание Думы городского округа 25.05.2022г. </w:t>
      </w:r>
      <w:r>
        <w:rPr>
          <w:rFonts w:cs="Times New Roman" w:ascii="Times New Roman" w:hAnsi="Times New Roman"/>
          <w:sz w:val="24"/>
          <w:szCs w:val="24"/>
        </w:rPr>
        <w:t>Главе городского округа предоставить информацию о ходе проведения ликвидации МУП БОН «Сервис» и работе ликвидационной комиссии.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Предоставить информацию о задолженности учреждений городского округа за коммунальные услуги в период с 2017 года по настоящее время, проведенной работе с учреждениями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Предоставить информацию об оплате населения за потребление природного газа в городском округе ЗАТО Свободный на очередном заседании Думы городского округа.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МУП БОН «Сервис» в 2022 году исключен из реестра юридический лиц в Межрайонной инспекции Федеральной налоговой службы № 16 по Свердловской области.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основании поручений, принятых на 11-ом очередном заседании Думы городского округа ЗАТО Свободный, о задолженности муниципальных учреждений за коммунальные услуги за период с 2017 года была проведена сверка расчетов за коммунальные услуги. В соответствии с предоставленной информацией, задолженность отсутствует в следующих учреждениях: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Муниципальное бюджетное дошкольное образовательное учреждение «Детский сад № 17 «Алёнушка»;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Муниципальное бюджетное учреждение дополнительного образования «Детско-юношеская спортивная школа»;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Муниципальное бюджетное учреждение дополнительного образования «Детская музыкальная школа»;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Муниципальное казенное учреждение дополнительного образования Станция юных техников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 Муниципальное бюджетное учреждение дополнительного образования Центр детского творчества «Калейдоскоп»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 Муниципальное бюджетное учреждение культуры Дворец культуры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В ответ на запрос от 06.04.2022 года генеральному директору АО «РЦ Урала» Коротковой А.В. было направлено письмо от 05.05.2022 года № 960 об отсутствии задолженности.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 исполнение поручения Думы городского округа ЗАТО Свободный № 11/10 от 25.05.2022 информация по тарифам АО «Уралсевергаз» для населения городского округа ЗАТО Свободный утверждена протоколом заседания Правления Региональной энергетической комиссии Свердловской области от 18.05.2022 № 16.</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 xml:space="preserve">13-е очередное заседание Думы городского округа 29.06.2022г. </w:t>
      </w:r>
      <w:r>
        <w:rPr>
          <w:rFonts w:cs="Times New Roman" w:ascii="Times New Roman" w:hAnsi="Times New Roman"/>
          <w:sz w:val="24"/>
          <w:szCs w:val="24"/>
        </w:rPr>
        <w:t>Рекомендовать главе городского округа провести рабочее совещание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 ЖКХ «Кедр».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Во исполнение поручения Думы городского округа от 29.06.2022 проведено рабочее совещание.  Работники МУП ЖКХ «Кедр» уведомлены о введении на предприятии процедуры наблюдения временным управляющим на основании определения Арбитражного суда  от 25.05.2022 по делу № А60-68858/2018. Признание организации неплатежеспособной (несостоятельной) по российскому законодательству не ведет к прекращению отношений с занятыми в этой организации работниками. Данное обстоятельство не исключает гарантию и защиту трудовых прав работников нормами трудового законодательства.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16-е очередное заседание Думы городского округа 23.11.2022г.</w:t>
      </w:r>
      <w:r>
        <w:rPr>
          <w:rFonts w:cs="Times New Roman" w:ascii="Times New Roman" w:hAnsi="Times New Roman"/>
          <w:sz w:val="24"/>
          <w:szCs w:val="24"/>
        </w:rPr>
        <w:t xml:space="preserve"> Утвержден отчет о результатах контрольного мероприятия «Проверка правомерности расходования субсидий из областного бюджета в 2022 году на государственную поддержку закупки контейнеров для раздельного накопления твёрдых коммунальных отходов.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Главе городского округа Иванову А.В. на очередном заседании Думы городского округа доложить о результатах устранения недостатков.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исполнения решения Думы городского округа ЗАТО Свободный от 23.11.2022       № 16/19, результаты контрольного мероприятия «Проверка правомерности расходования субсидий из областного бюджета в 2022 году на государственную поддержку закупки контейнеров для раздельного накопления твердых коммунальных отходов» в администрации городского округа ЗАТО Свободный проведена работа по устранению выявленных недостатков. Итоги проведенной работы следующие: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По п.п. 1, 2 отчета о результатах контрольного мероприятия – при осуществлении государственной поддержки бюджету городского округа ЗАТО Свободный на закупку контейнеров для раздельного накопления твердых коммунальных отходов цели, задачи и целевые показатели реализации муниципальной программы «Развитие городского хозяйства», а также объемы бюджетных ассигнований из областного бюджета на финансовое обеспечение реализации региональных проектов, определенных с учетом установленных государственными программами Свердловской области будут скорректированы и учтены, а именно внесены в муниципальную программу «Развитие городского хозяйства» на 2023-2030 при приведении в соответствие с бюджетом городского округа ЗАТО Свободный на 2023 год.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По п. 3 отчета о результатах контрольного мероприятия – конечный результат использования субсидии достигнут. Произведена реконструкция контейнерных площадок, расположенных на территории городского округа ЗАТО Свободный и установлены пластиковые передвижные контейнеры объемом 1,1 м3  в количестве 33 штуки.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По п. 4 отчета о результатах контрольного мероприятия – в реестр мест накопления твердых коммунальных отходов на территории городского округа ЗАТО Свободный Свердловской области, утвержденным постановлением администрации городского округа ЗАТО Свободный «Об утверждении реестра мест накопления твёрдых коммунальных отходов на территории городского округа ЗАТО Свободный Свердловской области и схемы размещения площадок накопления твёрдых коммунальных отходов на территории городского округа ЗАТО Свободный Свердловской области» от 08.10.2021 № 533 внесены изменения постановлением администрации городского округа ЗАТО Свободный «О внесении изменений в Реестр мест накопления твёрдых коммунальных отходов на территории городского округа ЗАТО Свободный Свердловской области, утвержденный постановлением администрации городского округа ЗАТО Свободный от 08.10.2021 № 533» от 08.12.2022 № 681.</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По п. 5 отчета о результатах контрольного мероприятия – всем контейнерам присвоены уникальные инвентарные номера согласно инвентарной карточке учета № 1085206035 нефинансовых активов, инвентарные номера нанесены на все контейнеры. Также на все контейнеры для раздельного накопления твердых коммунальных отходов нанесена маркировка по видам отходов (бумага, пластик, бытовые отходы, стекло).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По п. 6 отчета о результатах контрольного мероприятия – при оформлении аукционной и договорной документации соблюдаются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16-е очередное заседание Думы городского округа 23.11.2022г.</w:t>
      </w:r>
      <w:r>
        <w:rPr>
          <w:rFonts w:cs="Times New Roman" w:ascii="Times New Roman" w:hAnsi="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использования денежных средств, выделенных муниципальному казенному учреждению «Административно-хозяйственная служба» на оплату труда в 2021 году.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исполнения поручения, обозначенного в решении Думы городского округа ЗАТО Свободный от 23.11.2022 № 16/20, сообщаю, что по результатам контрольного мероприятия в Муниципальном казенном учреждении «Административно-хозяйственная служба» была проведена служебная проверка в отношении нарушений, выявленных Контрольным органом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служебной проверки МКУ «АХС» выплаты уборщикам служебных помещений за условия труда, отклоняющиеся от нормальных, в размере 12% от оклада в сумме 23 336,01 руб. признаны неправомерными. По результатам проведенной в 2018 году специальной оценки условий труда, условия труда уборщиков служебных помещений признаны допустимыми, в связи с чем указанные выплаты не могут быть применены.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результатам проверки было установлено, что в соответствии с п. 2 должностной инструкции главного бухгалтера МКУ «АХС», указанное должностное лицо является ответственным за начисление заработной платы. 08.11.2022 от главного бухгалтера МКУ «АХС» Руденко А.Н. получено объяснение по факту установленного нарушения. По итогам проверки Руденко А.Н. привлечена к дисциплинарной ответственности за виновное бездействие, выразившееся в неисполнении должностных обязанностей. Ущерб в сумме 29 336,01 руб., нанесенный бюджету городского округа ЗАТО Свободный, возмещен.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 исполнение пунктов 1, 3 предписания Контрольного органа и в целях устранения выявленных нарушений действующего законодательства в локальных актах учреждения, разработаны и направлены на согласование в администрацию городского округа ЗАТО Свободный проекты Коллективного договора и Положения об оплате труда и премирования в учреждении.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 исполнение п. 2 предписания Контрольного органа в трудовые договоры работников учреждения внесены изменения с учетом указанных замечаний, трудовые договоры будут дополнены после утверждения проектов Коллективного договора и Положения об оплате труда и премирования в учреждении.</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17-е очередное заседание Думы городского округа 07.12.2022г.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Рекомендовать главе городского округа разработать перспективный план по реконструкции и ремонту котельной городского округа ЗАТО Свободный.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Исполнить поручения Думы городского округа, принятые на 13-ом очередном заседании Думы городского округа от 29.06.2022, о проведении рабочего совещания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 ЖКХ «Кедр».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рамках исполнения поручения, обозначенного в решении Думы городского округа ЗАТО Свободный от 07.12.2022 № 17, перед выборами Губернатора Свердловской области, которые состоялись 11 сентября 2022 года Глава городского округа ЗАТО Свободный А.В. Иванов с участием специалистов администрации, Контрольного органа, депутатов Думы городского округа проведены рабочие совещания с коллективами муниципальных учреждений, в том числе МУП ЖКХ «Кедр» и проведены 2 встречи: с коллективом котельной № 88, 89 (02.09.2022) и с коллективом ЖЭУ № 1 (06.09.2022).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рамках рабочей встречи рассмотрены и озвучены вопросы социально-экономического развития городского округа, благоустройства, развития жилищно-коммунального комплекса, предстоящих выборов Губернатора Свердловской области 11.09.2022, а также банкротства МУП ЖКХ «Кедр».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вопросу предстоящего банкротства заслушан доклад директора МУП ЖКХ «Кедр» А.В. Соколова.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Работники МУП ЖКХ «Кедр» получили утвердительные ответы о гарантированном трудоустройстве во вновь открываемое муниципальное унитарное предприятие, продолжении трудовой деятельности в МУП ЖКХ «Кедр», о закреплении жилых помещений за сотрудниками.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Рабочие совещания прошли в деловой и конструктивной обстановке и завершились принятием совместных решений, направленных на повышение эффективности проводимой работы.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Положение «О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 внесены изменения: «В случае реорганизации, переименования, правопреемственности учреждения, предприятия, войсковой части, в случае изменения места службы военнослужащего на территории городского округа ЗАТО Свободный, а также в случае расторжения трудового договора вследствие введения процедур банкротства, ликвидации в результате банкротства предприятия, ликвидации учреждения в связи с работой в котором гражданину было предоставлено служебное жилое помещение, при последующем трудоустройстве гражданина в учреждение, предприятие, осуществляющее деятельность на территории городского округа ЗАТО Свободный, в договор найма служебного жилого помещения могут быть внесены соответствующие изменения дополнительным соглашением сторон на основании заявления нанимателя, подтверждающих документов и постановления администрации городского округа ЗАТО Свободный» (в редакции решения Думы городского округа от 23.11.2022 года № 16/14).</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Направлен Перспективный план по развитию коммунальной инфраструктуры городского округа ЗАТО Свободный, в том числе по реконструкции и ремонту котельной.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2022 году социально-экономическая и финансовая ситуация в городском округе оставалась непростой. Средства бюджета в 2022 году направлялись, в первую очередь, на решение вопросов социальной значимости (выплата заработной платы, питание учащихся, оплата коммунальных услуг, оздоровительная кампания, подготовка общеобразовательных учреждений к учебному году). Нельзя не отметить, что на территории городского округа наблюдается стабильный рост заработной платы.</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Главная задача органов местного самоуправления - это повышение уровня жизни населения городского округа. В течение 2022 года очередь на получение места в детский сад отсутствует. Не менее важным вопросом для жителей городского округа остается качество общего и дополнительного образования. В школе и учреждениях дополнительного образования максимально создаются условия для успешного освоения знаний, а также для развития духовно-нравственных, спортивных, патриотических качеств детей. 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 и соответствуют требованиям Роспотребнадзора.</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В 2022 году в городском округе продолжалось благоустройство территории: ямочный ремонт дорог, уборка и содержание детских игровых площадок, покос травы, уборка снега. Осенью 2022 года на территории городского округа ЗАТО Свободный прошли выборы Губернатора Свердловской области. Значимым событием для жителей городского округа в 2022 году стало открытие школьного стадиона и детской школы искусств. </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На сегодняшний день перед муниципалитетом много проблемных вопросов и задач, на решение которых будет направлена совместная работа главы городского округа, администрации городского округа и Думы городского округа. </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Глава городского округа ЗАТО Свободный </w:t>
        <w:tab/>
        <w:tab/>
        <w:tab/>
        <w:tab/>
        <w:tab/>
        <w:t xml:space="preserve"> А.В. Иванов</w:t>
      </w:r>
    </w:p>
    <w:sectPr>
      <w:type w:val="nextPage"/>
      <w:pgSz w:w="11906" w:h="16838"/>
      <w:pgMar w:left="1134" w:right="567" w:gutter="0" w:header="0" w:top="1134" w:footer="0" w:bottom="1134"/>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597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5e4652"/>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5">
    <w:name w:val="Heading 5"/>
    <w:basedOn w:val="Normal"/>
    <w:next w:val="Normal"/>
    <w:link w:val="50"/>
    <w:uiPriority w:val="9"/>
    <w:unhideWhenUsed/>
    <w:qFormat/>
    <w:rsid w:val="00730f75"/>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8">
    <w:name w:val="Heading 8"/>
    <w:basedOn w:val="Normal"/>
    <w:next w:val="Normal"/>
    <w:link w:val="80"/>
    <w:qFormat/>
    <w:rsid w:val="00351894"/>
    <w:pPr>
      <w:keepNext w:val="true"/>
      <w:spacing w:lineRule="auto" w:line="240" w:before="0" w:after="0"/>
      <w:jc w:val="center"/>
      <w:outlineLvl w:val="7"/>
    </w:pPr>
    <w:rPr>
      <w:rFonts w:ascii="Times New Roman" w:hAnsi="Times New Roman" w:eastAsia="Times New Roman" w:cs="Times New Roman"/>
      <w:sz w:val="28"/>
      <w:szCs w:val="20"/>
    </w:rPr>
  </w:style>
  <w:style w:type="character" w:styleId="DefaultParagraphFont" w:default="1">
    <w:name w:val="Default Paragraph Font"/>
    <w:uiPriority w:val="1"/>
    <w:semiHidden/>
    <w:unhideWhenUsed/>
    <w:qFormat/>
    <w:rPr/>
  </w:style>
  <w:style w:type="character" w:styleId="81" w:customStyle="1">
    <w:name w:val="Заголовок 8 Знак"/>
    <w:basedOn w:val="DefaultParagraphFont"/>
    <w:link w:val="8"/>
    <w:qFormat/>
    <w:rsid w:val="00351894"/>
    <w:rPr>
      <w:rFonts w:ascii="Times New Roman" w:hAnsi="Times New Roman" w:eastAsia="Times New Roman" w:cs="Times New Roman"/>
      <w:sz w:val="28"/>
      <w:szCs w:val="20"/>
      <w:lang w:eastAsia="ru-RU"/>
    </w:rPr>
  </w:style>
  <w:style w:type="character" w:styleId="Strong">
    <w:name w:val="Strong"/>
    <w:basedOn w:val="DefaultParagraphFont"/>
    <w:uiPriority w:val="22"/>
    <w:qFormat/>
    <w:rsid w:val="00351894"/>
    <w:rPr>
      <w:b/>
      <w:bCs/>
    </w:rPr>
  </w:style>
  <w:style w:type="character" w:styleId="11" w:customStyle="1">
    <w:name w:val="Заголовок 1 Знак"/>
    <w:basedOn w:val="DefaultParagraphFont"/>
    <w:link w:val="1"/>
    <w:uiPriority w:val="9"/>
    <w:qFormat/>
    <w:rsid w:val="005e4652"/>
    <w:rPr>
      <w:rFonts w:ascii="Times New Roman" w:hAnsi="Times New Roman" w:eastAsia="Times New Roman" w:cs="Times New Roman"/>
      <w:b/>
      <w:bCs/>
      <w:kern w:val="2"/>
      <w:sz w:val="48"/>
      <w:szCs w:val="48"/>
      <w:lang w:eastAsia="ru-RU"/>
    </w:rPr>
  </w:style>
  <w:style w:type="character" w:styleId="Style11">
    <w:name w:val="Интернет-ссылка"/>
    <w:basedOn w:val="DefaultParagraphFont"/>
    <w:uiPriority w:val="99"/>
    <w:unhideWhenUsed/>
    <w:rsid w:val="004f4947"/>
    <w:rPr>
      <w:color w:val="0000FF" w:themeColor="hyperlink"/>
      <w:u w:val="single"/>
    </w:rPr>
  </w:style>
  <w:style w:type="character" w:styleId="Z" w:customStyle="1">
    <w:name w:val="z-Начало формы Знак"/>
    <w:basedOn w:val="DefaultParagraphFont"/>
    <w:uiPriority w:val="99"/>
    <w:semiHidden/>
    <w:qFormat/>
    <w:rsid w:val="005e4652"/>
    <w:rPr>
      <w:rFonts w:ascii="Arial" w:hAnsi="Arial" w:eastAsia="Times New Roman" w:cs="Arial"/>
      <w:vanish/>
      <w:sz w:val="16"/>
      <w:szCs w:val="16"/>
      <w:lang w:eastAsia="ru-RU"/>
    </w:rPr>
  </w:style>
  <w:style w:type="character" w:styleId="Z1" w:customStyle="1">
    <w:name w:val="z-Конец формы Знак"/>
    <w:basedOn w:val="DefaultParagraphFont"/>
    <w:uiPriority w:val="99"/>
    <w:semiHidden/>
    <w:qFormat/>
    <w:rsid w:val="005e4652"/>
    <w:rPr>
      <w:rFonts w:ascii="Arial" w:hAnsi="Arial" w:eastAsia="Times New Roman" w:cs="Arial"/>
      <w:vanish/>
      <w:sz w:val="16"/>
      <w:szCs w:val="16"/>
      <w:lang w:eastAsia="ru-RU"/>
    </w:rPr>
  </w:style>
  <w:style w:type="character" w:styleId="Yashareblocktext" w:customStyle="1">
    <w:name w:val="ya-share-block__text"/>
    <w:basedOn w:val="DefaultParagraphFont"/>
    <w:qFormat/>
    <w:rsid w:val="005e4652"/>
    <w:rPr/>
  </w:style>
  <w:style w:type="character" w:styleId="Copyrighttitle" w:customStyle="1">
    <w:name w:val="copyright__title"/>
    <w:basedOn w:val="DefaultParagraphFont"/>
    <w:qFormat/>
    <w:rsid w:val="005e4652"/>
    <w:rPr/>
  </w:style>
  <w:style w:type="character" w:styleId="Style12" w:customStyle="1">
    <w:name w:val="Текст выноски Знак"/>
    <w:basedOn w:val="DefaultParagraphFont"/>
    <w:uiPriority w:val="99"/>
    <w:semiHidden/>
    <w:qFormat/>
    <w:rsid w:val="005e4652"/>
    <w:rPr>
      <w:rFonts w:ascii="Tahoma" w:hAnsi="Tahoma" w:cs="Tahoma"/>
      <w:sz w:val="16"/>
      <w:szCs w:val="16"/>
    </w:rPr>
  </w:style>
  <w:style w:type="character" w:styleId="Style13" w:customStyle="1">
    <w:name w:val="Основной текст + Полужирный"/>
    <w:qFormat/>
    <w:rsid w:val="00551002"/>
    <w:rPr>
      <w:b/>
      <w:bCs/>
      <w:sz w:val="25"/>
      <w:szCs w:val="25"/>
      <w:shd w:fill="FFFFFF" w:val="clear"/>
    </w:rPr>
  </w:style>
  <w:style w:type="character" w:styleId="Style14" w:customStyle="1">
    <w:name w:val="Основной текст Знак"/>
    <w:basedOn w:val="DefaultParagraphFont"/>
    <w:uiPriority w:val="99"/>
    <w:qFormat/>
    <w:rsid w:val="00575268"/>
    <w:rPr>
      <w:rFonts w:ascii="Times New Roman" w:hAnsi="Times New Roman" w:eastAsia="Times New Roman" w:cs="Times New Roman"/>
      <w:sz w:val="24"/>
      <w:szCs w:val="24"/>
    </w:rPr>
  </w:style>
  <w:style w:type="character" w:styleId="ConsPlusNormal" w:customStyle="1">
    <w:name w:val="ConsPlusNormal Знак"/>
    <w:link w:val="ConsPlusNormal"/>
    <w:qFormat/>
    <w:locked/>
    <w:rsid w:val="00c47534"/>
    <w:rPr>
      <w:rFonts w:ascii="Arial" w:hAnsi="Arial" w:eastAsia="Times New Roman" w:cs="Arial"/>
      <w:sz w:val="20"/>
      <w:szCs w:val="20"/>
      <w:lang w:eastAsia="ru-RU"/>
    </w:rPr>
  </w:style>
  <w:style w:type="character" w:styleId="Style15" w:customStyle="1">
    <w:name w:val="Основной текст с отступом Знак"/>
    <w:basedOn w:val="DefaultParagraphFont"/>
    <w:qFormat/>
    <w:rsid w:val="00d47b8b"/>
    <w:rPr>
      <w:rFonts w:ascii="Times New Roman" w:hAnsi="Times New Roman" w:eastAsia="Times New Roman" w:cs="Times New Roman"/>
      <w:sz w:val="24"/>
      <w:szCs w:val="24"/>
      <w:lang w:eastAsia="ru-RU"/>
    </w:rPr>
  </w:style>
  <w:style w:type="character" w:styleId="51" w:customStyle="1">
    <w:name w:val="Заголовок 5 Знак"/>
    <w:basedOn w:val="DefaultParagraphFont"/>
    <w:link w:val="5"/>
    <w:uiPriority w:val="9"/>
    <w:qFormat/>
    <w:rsid w:val="00730f75"/>
    <w:rPr>
      <w:rFonts w:ascii="Cambria" w:hAnsi="Cambria" w:eastAsia="" w:cs="" w:asciiTheme="majorHAnsi" w:cstheme="majorBidi" w:eastAsiaTheme="majorEastAsia" w:hAnsiTheme="majorHAnsi"/>
      <w:color w:val="365F91" w:themeColor="accent1" w:themeShade="bf"/>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uiPriority w:val="99"/>
    <w:unhideWhenUsed/>
    <w:rsid w:val="00575268"/>
    <w:pPr>
      <w:spacing w:lineRule="auto" w:line="240" w:before="0" w:after="120"/>
    </w:pPr>
    <w:rPr>
      <w:rFonts w:ascii="Times New Roman" w:hAnsi="Times New Roman" w:eastAsia="Times New Roman" w:cs="Times New Roman"/>
      <w:sz w:val="24"/>
      <w:szCs w:val="24"/>
    </w:rPr>
  </w:style>
  <w:style w:type="paragraph" w:styleId="Style18">
    <w:name w:val="List"/>
    <w:basedOn w:val="Style17"/>
    <w:rsid w:val="00675975"/>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Style21">
    <w:name w:val="Title"/>
    <w:basedOn w:val="Normal"/>
    <w:next w:val="Style17"/>
    <w:qFormat/>
    <w:rsid w:val="00675975"/>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675975"/>
    <w:pPr>
      <w:suppressLineNumbers/>
      <w:spacing w:before="120" w:after="120"/>
    </w:pPr>
    <w:rPr>
      <w:rFonts w:cs="Mangal"/>
      <w:i/>
      <w:iCs/>
      <w:sz w:val="24"/>
      <w:szCs w:val="24"/>
    </w:rPr>
  </w:style>
  <w:style w:type="paragraph" w:styleId="Indexheading">
    <w:name w:val="index heading"/>
    <w:basedOn w:val="Normal"/>
    <w:qFormat/>
    <w:rsid w:val="00675975"/>
    <w:pPr>
      <w:suppressLineNumbers/>
    </w:pPr>
    <w:rPr>
      <w:rFonts w:cs="Mangal"/>
    </w:rPr>
  </w:style>
  <w:style w:type="paragraph" w:styleId="12" w:customStyle="1">
    <w:name w:val="Заголовок1"/>
    <w:basedOn w:val="Normal"/>
    <w:next w:val="Style17"/>
    <w:qFormat/>
    <w:rsid w:val="00675975"/>
    <w:pPr>
      <w:keepNext w:val="true"/>
      <w:spacing w:before="240" w:after="120"/>
    </w:pPr>
    <w:rPr>
      <w:rFonts w:ascii="Liberation Sans" w:hAnsi="Liberation Sans" w:eastAsia="Microsoft YaHei" w:cs="Mangal"/>
      <w:sz w:val="28"/>
      <w:szCs w:val="28"/>
    </w:rPr>
  </w:style>
  <w:style w:type="paragraph" w:styleId="HTMLTopofForm">
    <w:name w:val="HTML Top of Form"/>
    <w:basedOn w:val="Normal"/>
    <w:next w:val="Normal"/>
    <w:uiPriority w:val="99"/>
    <w:semiHidden/>
    <w:unhideWhenUsed/>
    <w:qFormat/>
    <w:rsid w:val="005e4652"/>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uiPriority w:val="99"/>
    <w:semiHidden/>
    <w:unhideWhenUsed/>
    <w:qFormat/>
    <w:rsid w:val="005e4652"/>
    <w:pPr>
      <w:pBdr>
        <w:top w:val="single" w:sz="6" w:space="1" w:color="000000"/>
      </w:pBdr>
      <w:spacing w:lineRule="auto" w:line="240" w:before="0" w:after="0"/>
      <w:jc w:val="center"/>
    </w:pPr>
    <w:rPr>
      <w:rFonts w:ascii="Arial" w:hAnsi="Arial" w:eastAsia="Times New Roman" w:cs="Arial"/>
      <w:vanish/>
      <w:sz w:val="16"/>
      <w:szCs w:val="16"/>
    </w:rPr>
  </w:style>
  <w:style w:type="paragraph" w:styleId="NormalWeb">
    <w:name w:val="Normal (Web)"/>
    <w:basedOn w:val="Normal"/>
    <w:uiPriority w:val="99"/>
    <w:unhideWhenUsed/>
    <w:qFormat/>
    <w:rsid w:val="005e4652"/>
    <w:pPr>
      <w:spacing w:lineRule="auto" w:line="240" w:beforeAutospacing="1" w:afterAutospacing="1"/>
    </w:pPr>
    <w:rPr>
      <w:rFonts w:ascii="Times New Roman" w:hAnsi="Times New Roman" w:eastAsia="Times New Roman" w:cs="Times New Roman"/>
      <w:sz w:val="24"/>
      <w:szCs w:val="24"/>
    </w:rPr>
  </w:style>
  <w:style w:type="paragraph" w:styleId="Producetext" w:customStyle="1">
    <w:name w:val="produce__text"/>
    <w:basedOn w:val="Normal"/>
    <w:qFormat/>
    <w:rsid w:val="005e4652"/>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uiPriority w:val="99"/>
    <w:semiHidden/>
    <w:unhideWhenUsed/>
    <w:qFormat/>
    <w:rsid w:val="005e4652"/>
    <w:pPr>
      <w:spacing w:lineRule="auto" w:line="240" w:before="0" w:after="0"/>
    </w:pPr>
    <w:rPr>
      <w:rFonts w:ascii="Tahoma" w:hAnsi="Tahoma" w:cs="Tahoma"/>
      <w:sz w:val="16"/>
      <w:szCs w:val="16"/>
    </w:rPr>
  </w:style>
  <w:style w:type="paragraph" w:styleId="ConsPlusTitle" w:customStyle="1">
    <w:name w:val="ConsPlusTitle"/>
    <w:uiPriority w:val="99"/>
    <w:qFormat/>
    <w:rsid w:val="005e4652"/>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ListParagraph">
    <w:name w:val="List Paragraph"/>
    <w:basedOn w:val="Normal"/>
    <w:uiPriority w:val="34"/>
    <w:qFormat/>
    <w:rsid w:val="00bd007f"/>
    <w:pPr>
      <w:spacing w:before="0" w:after="200"/>
      <w:ind w:left="720" w:hanging="0"/>
      <w:contextualSpacing/>
    </w:pPr>
    <w:rPr>
      <w:rFonts w:ascii="Calibri" w:hAnsi="Calibri" w:eastAsia="Times New Roman" w:cs="Times New Roman"/>
    </w:rPr>
  </w:style>
  <w:style w:type="paragraph" w:styleId="ConsPlusNormal1" w:customStyle="1">
    <w:name w:val="ConsPlusNormal"/>
    <w:qFormat/>
    <w:rsid w:val="00c47534"/>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2">
    <w:name w:val="Body Text Indent"/>
    <w:basedOn w:val="Normal"/>
    <w:rsid w:val="00d47b8b"/>
    <w:pPr>
      <w:spacing w:lineRule="auto" w:line="240" w:before="0" w:after="120"/>
      <w:ind w:left="283" w:hanging="0"/>
    </w:pPr>
    <w:rPr>
      <w:rFonts w:ascii="Times New Roman" w:hAnsi="Times New Roman" w:eastAsia="Times New Roman" w:cs="Times New Roman"/>
      <w:sz w:val="24"/>
      <w:szCs w:val="24"/>
    </w:rPr>
  </w:style>
  <w:style w:type="paragraph" w:styleId="Style23" w:customStyle="1">
    <w:name w:val="Знак Знак"/>
    <w:basedOn w:val="Normal"/>
    <w:qFormat/>
    <w:rsid w:val="003d6e0e"/>
    <w:pPr>
      <w:suppressAutoHyphens w:val="false"/>
      <w:spacing w:lineRule="exact" w:line="240" w:before="0" w:after="160"/>
    </w:pPr>
    <w:rPr>
      <w:rFonts w:ascii="Verdana" w:hAnsi="Verdana" w:eastAsia="Times New Roman" w:cs="Times New Roman"/>
      <w:sz w:val="20"/>
      <w:szCs w:val="20"/>
      <w:lang w:val="en-US" w:eastAsia="en-US"/>
    </w:rPr>
  </w:style>
  <w:style w:type="paragraph" w:styleId="13" w:customStyle="1">
    <w:name w:val="Обычная таблица1"/>
    <w:qFormat/>
    <w:rsid w:val="00675975"/>
    <w:pPr>
      <w:widowControl/>
      <w:suppressAutoHyphens w:val="true"/>
      <w:bidi w:val="0"/>
      <w:spacing w:lineRule="auto" w:line="276" w:before="0" w:after="200"/>
      <w:jc w:val="left"/>
    </w:pPr>
    <w:rPr>
      <w:rFonts w:ascii="Times New Roman" w:hAnsi="Times New Roman" w:eastAsia="Cambria" w:cs="Times New Roman"/>
      <w:color w:val="auto"/>
      <w:kern w:val="0"/>
      <w:sz w:val="22"/>
      <w:szCs w:val="22"/>
      <w:lang w:val="ru-RU" w:eastAsia="ru-RU" w:bidi="ar-SA"/>
    </w:rPr>
  </w:style>
  <w:style w:type="paragraph" w:styleId="Western" w:customStyle="1">
    <w:name w:val="western"/>
    <w:basedOn w:val="Normal"/>
    <w:qFormat/>
    <w:rsid w:val="00ce2482"/>
    <w:pPr>
      <w:suppressAutoHyphens w:val="false"/>
      <w:spacing w:beforeAutospacing="1" w:after="142"/>
    </w:pPr>
    <w:rPr>
      <w:rFonts w:ascii="Times New Roman" w:hAnsi="Times New Roman" w:eastAsia="Times New Roman" w:cs="Times New Roman"/>
      <w:color w:val="000000"/>
      <w:sz w:val="24"/>
      <w:szCs w:val="24"/>
    </w:rPr>
  </w:style>
  <w:style w:type="paragraph" w:styleId="C25" w:customStyle="1">
    <w:name w:val="c25"/>
    <w:basedOn w:val="Normal"/>
    <w:qFormat/>
    <w:rsid w:val="000a7d1c"/>
    <w:pPr>
      <w:spacing w:lineRule="auto" w:line="240" w:before="100" w:after="10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39"/>
    <w:rsid w:val="00c93b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59"/>
    <w:rsid w:val="00f12b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CFA5-B6B1-4FBA-85B3-812A42B2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3407</TotalTime>
  <Application>LibreOffice/7.2.2.2$Windows_X86_64 LibreOffice_project/02b2acce88a210515b4a5bb2e46cbfb63fe97d56</Application>
  <AppVersion>15.0000</AppVersion>
  <DocSecurity>0</DocSecurity>
  <Pages>25</Pages>
  <Words>9440</Words>
  <Characters>68380</Characters>
  <CharactersWithSpaces>77626</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2021-03-12T03:22:00Z</dcterms:created>
  <dc:creator>User</dc:creator>
  <dc:description/>
  <dc:language>ru-RU</dc:language>
  <cp:lastModifiedBy/>
  <cp:lastPrinted>2023-03-23T06:52:00Z</cp:lastPrinted>
  <dcterms:modified xsi:type="dcterms:W3CDTF">2023-04-06T09:06:29Z</dcterms:modified>
  <cp:revision>270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